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75C67" w14:textId="77777777" w:rsidR="00F71C86" w:rsidRPr="005A1BA8" w:rsidRDefault="00F71C86" w:rsidP="00F71C86">
      <w:pPr>
        <w:rPr>
          <w:rFonts w:cstheme="minorHAnsi"/>
          <w:szCs w:val="18"/>
        </w:rPr>
      </w:pPr>
    </w:p>
    <w:p w14:paraId="79E6C090" w14:textId="321C1CB8" w:rsidR="00F46B5D" w:rsidRPr="00D60328" w:rsidRDefault="00F46B5D" w:rsidP="00D60328">
      <w:pPr>
        <w:pStyle w:val="Style4"/>
        <w:pBdr>
          <w:top w:val="single" w:sz="4" w:space="1" w:color="auto"/>
          <w:left w:val="single" w:sz="4" w:space="4" w:color="auto"/>
          <w:bottom w:val="single" w:sz="4" w:space="1" w:color="auto"/>
          <w:right w:val="single" w:sz="4" w:space="4" w:color="auto"/>
        </w:pBdr>
        <w:shd w:val="clear" w:color="auto" w:fill="00A984" w:themeFill="accent1"/>
        <w:jc w:val="center"/>
        <w:rPr>
          <w:rStyle w:val="Emphaseintense"/>
          <w:rFonts w:ascii="Arial" w:hAnsi="Arial"/>
          <w:b/>
          <w:i w:val="0"/>
          <w:color w:val="FFFFFF" w:themeColor="background2"/>
          <w:sz w:val="26"/>
          <w:szCs w:val="26"/>
        </w:rPr>
      </w:pPr>
      <w:r w:rsidRPr="00D60328">
        <w:rPr>
          <w:rStyle w:val="Emphaseintense"/>
          <w:rFonts w:ascii="Arial" w:hAnsi="Arial"/>
          <w:b/>
          <w:i w:val="0"/>
          <w:color w:val="FFFFFF" w:themeColor="background2"/>
          <w:sz w:val="26"/>
          <w:szCs w:val="26"/>
        </w:rPr>
        <w:t xml:space="preserve">FICHE </w:t>
      </w:r>
      <w:r w:rsidR="00EB068E" w:rsidRPr="00D60328">
        <w:rPr>
          <w:rStyle w:val="Emphaseintense"/>
          <w:rFonts w:ascii="Arial" w:hAnsi="Arial"/>
          <w:b/>
          <w:i w:val="0"/>
          <w:color w:val="FFFFFF" w:themeColor="background2"/>
          <w:sz w:val="26"/>
          <w:szCs w:val="26"/>
        </w:rPr>
        <w:t>D’AIDE A L’</w:t>
      </w:r>
      <w:r w:rsidR="00FC56AB" w:rsidRPr="00D60328">
        <w:rPr>
          <w:rStyle w:val="Emphaseintense"/>
          <w:rFonts w:ascii="Arial" w:hAnsi="Arial"/>
          <w:b/>
          <w:i w:val="0"/>
          <w:color w:val="FFFFFF" w:themeColor="background2"/>
          <w:sz w:val="26"/>
          <w:szCs w:val="26"/>
        </w:rPr>
        <w:t xml:space="preserve">INTEGRATION DES OUVRAGES DE TRANSPORT </w:t>
      </w:r>
      <w:r w:rsidR="00810341" w:rsidRPr="00D60328">
        <w:rPr>
          <w:rStyle w:val="Emphaseintense"/>
          <w:rFonts w:ascii="Arial" w:hAnsi="Arial"/>
          <w:b/>
          <w:i w:val="0"/>
          <w:color w:val="FFFFFF" w:themeColor="background2"/>
          <w:sz w:val="26"/>
          <w:szCs w:val="26"/>
        </w:rPr>
        <w:br/>
      </w:r>
      <w:r w:rsidR="00FC56AB" w:rsidRPr="00D60328">
        <w:rPr>
          <w:rStyle w:val="Emphaseintense"/>
          <w:rFonts w:ascii="Arial" w:hAnsi="Arial"/>
          <w:b/>
          <w:i w:val="0"/>
          <w:color w:val="FFFFFF" w:themeColor="background2"/>
          <w:sz w:val="26"/>
          <w:szCs w:val="26"/>
        </w:rPr>
        <w:t xml:space="preserve">DE GAZ NATUREL </w:t>
      </w:r>
      <w:r w:rsidR="00810341" w:rsidRPr="00D60328">
        <w:rPr>
          <w:rStyle w:val="Emphaseintense"/>
          <w:rFonts w:ascii="Arial" w:hAnsi="Arial"/>
          <w:b/>
          <w:i w:val="0"/>
          <w:color w:val="FFFFFF" w:themeColor="background2"/>
          <w:sz w:val="26"/>
          <w:szCs w:val="26"/>
        </w:rPr>
        <w:t xml:space="preserve">DANS </w:t>
      </w:r>
      <w:r w:rsidR="00D60328" w:rsidRPr="00D60328">
        <w:rPr>
          <w:rStyle w:val="Emphaseintense"/>
          <w:rFonts w:ascii="Arial" w:hAnsi="Arial"/>
          <w:b/>
          <w:i w:val="0"/>
          <w:color w:val="FFFFFF" w:themeColor="background2"/>
          <w:sz w:val="26"/>
          <w:szCs w:val="26"/>
        </w:rPr>
        <w:t>LES DIFFÉRENTES PIÈCES DU PLU(i</w:t>
      </w:r>
      <w:r w:rsidRPr="00D60328">
        <w:rPr>
          <w:rStyle w:val="Emphaseintense"/>
          <w:rFonts w:ascii="Arial" w:hAnsi="Arial"/>
          <w:b/>
          <w:i w:val="0"/>
          <w:color w:val="FFFFFF" w:themeColor="background2"/>
          <w:sz w:val="26"/>
          <w:szCs w:val="26"/>
        </w:rPr>
        <w:t>)</w:t>
      </w:r>
    </w:p>
    <w:p w14:paraId="0B71E494" w14:textId="77777777" w:rsidR="005C6404" w:rsidRDefault="005C6404" w:rsidP="005C6404">
      <w:pPr>
        <w:spacing w:line="240" w:lineRule="exact"/>
        <w:ind w:left="-426"/>
        <w:jc w:val="both"/>
        <w:rPr>
          <w:rFonts w:cstheme="minorHAnsi"/>
        </w:rPr>
      </w:pPr>
    </w:p>
    <w:p w14:paraId="1A42974C" w14:textId="77777777" w:rsidR="005E0538" w:rsidRPr="00E76AF3" w:rsidRDefault="005E0538" w:rsidP="005E0538">
      <w:pPr>
        <w:tabs>
          <w:tab w:val="clear" w:pos="1276"/>
          <w:tab w:val="clear" w:pos="5245"/>
        </w:tabs>
        <w:spacing w:line="260" w:lineRule="atLeast"/>
        <w:ind w:left="-426"/>
        <w:contextualSpacing/>
        <w:jc w:val="both"/>
        <w:rPr>
          <w:rFonts w:ascii="Arial" w:eastAsia="Times New Roman" w:hAnsi="Arial" w:cs="Arial"/>
          <w:sz w:val="18"/>
          <w:szCs w:val="18"/>
        </w:rPr>
      </w:pPr>
      <w:r w:rsidRPr="00E76AF3">
        <w:rPr>
          <w:rFonts w:ascii="Arial" w:eastAsia="Times New Roman" w:hAnsi="Arial" w:cs="Arial"/>
          <w:sz w:val="18"/>
          <w:szCs w:val="18"/>
        </w:rPr>
        <w:t>Le transport de gaz, d’hydrocarbures et de produits chimiques par canalisation est indispensable à l’approvisionnement énergétique de notre pays et à son développement économique. Il est reconnu comme le mode de transport le plus sûr et de moindre impact pour l’environnement. Il nécessite toutefois des précautions particulières en matière d’urbanisme afin de limiter l’exposition des riverains aux risques résiduels occasionnés par les canalisations.</w:t>
      </w:r>
    </w:p>
    <w:p w14:paraId="325E49E5" w14:textId="77777777" w:rsidR="005E0538" w:rsidRPr="00E76AF3" w:rsidRDefault="005E0538" w:rsidP="005C6404">
      <w:pPr>
        <w:tabs>
          <w:tab w:val="clear" w:pos="1276"/>
          <w:tab w:val="clear" w:pos="5245"/>
        </w:tabs>
        <w:spacing w:line="260" w:lineRule="atLeast"/>
        <w:ind w:left="-426"/>
        <w:contextualSpacing/>
        <w:jc w:val="both"/>
        <w:rPr>
          <w:rFonts w:ascii="Arial" w:eastAsia="Times New Roman" w:hAnsi="Arial" w:cs="Arial"/>
          <w:sz w:val="18"/>
          <w:szCs w:val="18"/>
        </w:rPr>
      </w:pPr>
    </w:p>
    <w:p w14:paraId="5121861E" w14:textId="77777777" w:rsidR="005C6404" w:rsidRPr="00E76AF3" w:rsidRDefault="005C6404" w:rsidP="005C6404">
      <w:pPr>
        <w:tabs>
          <w:tab w:val="clear" w:pos="1276"/>
          <w:tab w:val="clear" w:pos="5245"/>
        </w:tabs>
        <w:spacing w:line="260" w:lineRule="atLeast"/>
        <w:ind w:left="-426"/>
        <w:contextualSpacing/>
        <w:jc w:val="both"/>
        <w:rPr>
          <w:rFonts w:ascii="Arial" w:eastAsia="Times New Roman" w:hAnsi="Arial" w:cs="Arial"/>
          <w:sz w:val="18"/>
          <w:szCs w:val="18"/>
        </w:rPr>
      </w:pPr>
      <w:r w:rsidRPr="00E76AF3">
        <w:rPr>
          <w:rFonts w:ascii="Arial" w:eastAsia="Times New Roman" w:hAnsi="Arial" w:cs="Arial"/>
          <w:sz w:val="18"/>
          <w:szCs w:val="18"/>
        </w:rPr>
        <w:t>Au travers des textes réglementaires, des dispositions visant à garantir l’exploitation et la sécurité des ouvrages de transport de gaz naturel et à maitriser l’urbanisation à proximité de ces mêmes ouvrages existent et doivent être prises en compte dans les réflexions et documents d’urbanisme.</w:t>
      </w:r>
    </w:p>
    <w:p w14:paraId="2B5AB013" w14:textId="77777777" w:rsidR="005C6404" w:rsidRPr="00E76AF3" w:rsidRDefault="005C6404" w:rsidP="005C6404">
      <w:pPr>
        <w:spacing w:line="240" w:lineRule="exact"/>
        <w:ind w:left="-426"/>
        <w:jc w:val="both"/>
        <w:rPr>
          <w:rFonts w:ascii="Arial" w:hAnsi="Arial" w:cs="Arial"/>
          <w:sz w:val="18"/>
          <w:szCs w:val="18"/>
        </w:rPr>
      </w:pPr>
    </w:p>
    <w:p w14:paraId="63894507" w14:textId="01F33DC0" w:rsidR="005C6404" w:rsidRPr="00E76AF3" w:rsidRDefault="005C6404" w:rsidP="005C6404">
      <w:pPr>
        <w:spacing w:line="240" w:lineRule="exact"/>
        <w:ind w:left="-426"/>
        <w:jc w:val="both"/>
        <w:rPr>
          <w:rFonts w:ascii="Arial" w:hAnsi="Arial" w:cs="Arial"/>
          <w:sz w:val="18"/>
          <w:szCs w:val="18"/>
        </w:rPr>
      </w:pPr>
      <w:r w:rsidRPr="00E76AF3">
        <w:rPr>
          <w:rFonts w:ascii="Arial" w:hAnsi="Arial" w:cs="Arial"/>
          <w:sz w:val="18"/>
          <w:szCs w:val="18"/>
        </w:rPr>
        <w:t xml:space="preserve">En effet, c'est à l'occasion de l'évolution des documents d'urbanisme, que doivent être intégrés les éléments relatifs à nos ouvrages de manière à concilier les enjeux de densification urbaine et de sécurité pour les personnes et les biens (articles L.101-2, L.151-43 et L.152-7 du Code de l’Urbanisme). Cette intégration doit intervenir à plusieurs niveaux dans le </w:t>
      </w:r>
      <w:r w:rsidRPr="00290954">
        <w:rPr>
          <w:rFonts w:ascii="Arial" w:hAnsi="Arial" w:cs="Arial"/>
          <w:sz w:val="18"/>
          <w:szCs w:val="18"/>
        </w:rPr>
        <w:t>PLU(i).</w:t>
      </w:r>
    </w:p>
    <w:p w14:paraId="6B94AD3D" w14:textId="3E2FC06F" w:rsidR="005C6404" w:rsidRPr="00E92EC6" w:rsidRDefault="00FC56AB" w:rsidP="00FC56AB">
      <w:pPr>
        <w:pStyle w:val="Citationintense"/>
        <w:ind w:left="851" w:right="766"/>
        <w:rPr>
          <w:rStyle w:val="Emphaseintense"/>
          <w:b/>
        </w:rPr>
      </w:pPr>
      <w:r w:rsidRPr="00E92EC6">
        <w:rPr>
          <w:rStyle w:val="Emphaseintense"/>
          <w:b/>
        </w:rPr>
        <w:t>Rapport  de Présentation</w:t>
      </w:r>
    </w:p>
    <w:p w14:paraId="79A92A97" w14:textId="79551C92" w:rsidR="005C6404" w:rsidRPr="00E76AF3" w:rsidRDefault="005E0538" w:rsidP="00835A6D">
      <w:pPr>
        <w:pStyle w:val="Paragraphedeliste"/>
        <w:spacing w:before="60" w:line="240" w:lineRule="exact"/>
        <w:ind w:left="-142"/>
        <w:contextualSpacing w:val="0"/>
        <w:rPr>
          <w:rFonts w:ascii="Arial" w:hAnsi="Arial" w:cs="Arial"/>
          <w:szCs w:val="18"/>
        </w:rPr>
      </w:pPr>
      <w:r w:rsidRPr="00E76AF3">
        <w:rPr>
          <w:rFonts w:ascii="Arial" w:hAnsi="Arial" w:cs="Arial"/>
          <w:szCs w:val="18"/>
        </w:rPr>
        <w:t>L</w:t>
      </w:r>
      <w:r w:rsidR="005C6404" w:rsidRPr="00E76AF3">
        <w:rPr>
          <w:rFonts w:ascii="Arial" w:hAnsi="Arial" w:cs="Arial"/>
          <w:szCs w:val="18"/>
        </w:rPr>
        <w:t xml:space="preserve">a présence des ouvrages GRTgaz doit être signalée dans </w:t>
      </w:r>
      <w:r w:rsidRPr="00E76AF3">
        <w:rPr>
          <w:rFonts w:ascii="Arial" w:hAnsi="Arial" w:cs="Arial"/>
          <w:szCs w:val="18"/>
        </w:rPr>
        <w:t>les parties faisant référence aux</w:t>
      </w:r>
      <w:r w:rsidR="005C6404" w:rsidRPr="00E76AF3">
        <w:rPr>
          <w:rFonts w:ascii="Arial" w:hAnsi="Arial" w:cs="Arial"/>
          <w:szCs w:val="18"/>
        </w:rPr>
        <w:t xml:space="preserve"> risques technologiques (risque lié au transport de matières dangereuses) avec le rappel des Servit</w:t>
      </w:r>
      <w:r w:rsidRPr="00E76AF3">
        <w:rPr>
          <w:rFonts w:ascii="Arial" w:hAnsi="Arial" w:cs="Arial"/>
          <w:szCs w:val="18"/>
        </w:rPr>
        <w:t>udes d’Utilité Publique (SUP),</w:t>
      </w:r>
      <w:r w:rsidR="005C6404" w:rsidRPr="00E76AF3">
        <w:rPr>
          <w:rFonts w:ascii="Arial" w:hAnsi="Arial" w:cs="Arial"/>
          <w:szCs w:val="18"/>
        </w:rPr>
        <w:t xml:space="preserve"> notamment les SUP d’implantation et de passage et les SUP d’effets pour la maîtrise de l’urbanisation.</w:t>
      </w:r>
    </w:p>
    <w:p w14:paraId="69D3EBAC" w14:textId="78C10E63" w:rsidR="005C6404" w:rsidRPr="00E76AF3" w:rsidRDefault="00093F3C" w:rsidP="00835A6D">
      <w:pPr>
        <w:pStyle w:val="Paragraphedeliste"/>
        <w:spacing w:before="60" w:line="240" w:lineRule="exact"/>
        <w:ind w:left="-142"/>
        <w:contextualSpacing w:val="0"/>
        <w:rPr>
          <w:rFonts w:ascii="Arial" w:hAnsi="Arial" w:cs="Arial"/>
          <w:szCs w:val="18"/>
        </w:rPr>
      </w:pPr>
      <w:r w:rsidRPr="00E76AF3">
        <w:rPr>
          <w:rFonts w:ascii="Arial" w:hAnsi="Arial" w:cs="Arial"/>
          <w:szCs w:val="18"/>
        </w:rPr>
        <w:t>L</w:t>
      </w:r>
      <w:r w:rsidR="005C6404" w:rsidRPr="00E76AF3">
        <w:rPr>
          <w:rFonts w:ascii="Arial" w:hAnsi="Arial" w:cs="Arial"/>
          <w:szCs w:val="18"/>
        </w:rPr>
        <w:t>es moyens mis en œuvre pour tenir compte de ce risque dans le choix de développement doivent également être exposés.</w:t>
      </w:r>
    </w:p>
    <w:p w14:paraId="2B1A632B" w14:textId="345ED604" w:rsidR="005C6404" w:rsidRPr="00E92EC6" w:rsidRDefault="005C6404" w:rsidP="00FC56AB">
      <w:pPr>
        <w:pStyle w:val="Citationintense"/>
        <w:ind w:left="851" w:right="766"/>
        <w:rPr>
          <w:b/>
          <w:i w:val="0"/>
        </w:rPr>
      </w:pPr>
      <w:r w:rsidRPr="00E92EC6">
        <w:rPr>
          <w:b/>
          <w:i w:val="0"/>
        </w:rPr>
        <w:t>P</w:t>
      </w:r>
      <w:r w:rsidR="00FC56AB" w:rsidRPr="00E92EC6">
        <w:rPr>
          <w:b/>
          <w:i w:val="0"/>
        </w:rPr>
        <w:t>lan d’</w:t>
      </w:r>
      <w:r w:rsidRPr="00E92EC6">
        <w:rPr>
          <w:b/>
          <w:i w:val="0"/>
        </w:rPr>
        <w:t>A</w:t>
      </w:r>
      <w:r w:rsidR="00FC56AB" w:rsidRPr="00E92EC6">
        <w:rPr>
          <w:b/>
          <w:i w:val="0"/>
        </w:rPr>
        <w:t xml:space="preserve">ménagement et de </w:t>
      </w:r>
      <w:r w:rsidRPr="00E92EC6">
        <w:rPr>
          <w:b/>
          <w:i w:val="0"/>
        </w:rPr>
        <w:t>D</w:t>
      </w:r>
      <w:r w:rsidR="00FC56AB" w:rsidRPr="00E92EC6">
        <w:rPr>
          <w:b/>
          <w:i w:val="0"/>
        </w:rPr>
        <w:t xml:space="preserve">éveloppement </w:t>
      </w:r>
      <w:r w:rsidRPr="00E92EC6">
        <w:rPr>
          <w:b/>
          <w:i w:val="0"/>
        </w:rPr>
        <w:t>D</w:t>
      </w:r>
      <w:r w:rsidR="00FC56AB" w:rsidRPr="00E92EC6">
        <w:rPr>
          <w:b/>
          <w:i w:val="0"/>
        </w:rPr>
        <w:t>urable</w:t>
      </w:r>
      <w:r w:rsidRPr="00E92EC6">
        <w:rPr>
          <w:b/>
          <w:i w:val="0"/>
        </w:rPr>
        <w:t xml:space="preserve"> </w:t>
      </w:r>
    </w:p>
    <w:p w14:paraId="2E5B38B9" w14:textId="68B3EABC" w:rsidR="005C6404" w:rsidRPr="00E76AF3" w:rsidRDefault="005C6404" w:rsidP="00835A6D">
      <w:pPr>
        <w:spacing w:line="240" w:lineRule="exact"/>
        <w:ind w:left="-142"/>
        <w:jc w:val="both"/>
        <w:rPr>
          <w:rFonts w:ascii="Arial" w:hAnsi="Arial" w:cs="Arial"/>
          <w:sz w:val="18"/>
          <w:szCs w:val="18"/>
        </w:rPr>
      </w:pPr>
      <w:r w:rsidRPr="00E76AF3">
        <w:rPr>
          <w:rFonts w:ascii="Arial" w:hAnsi="Arial" w:cs="Arial"/>
          <w:sz w:val="18"/>
          <w:szCs w:val="18"/>
        </w:rPr>
        <w:t>Il serait utile de rappeler de veiller à ne pas développer de programmes d’habitat, d’espaces ou équipements publics à proximité des ouvrages de transport de gaz naturel haute pression.</w:t>
      </w:r>
    </w:p>
    <w:p w14:paraId="7FD513BC" w14:textId="55FE723E" w:rsidR="005C6404" w:rsidRPr="00E92EC6" w:rsidRDefault="005C6404" w:rsidP="00E92EC6">
      <w:pPr>
        <w:pStyle w:val="Citationintense"/>
        <w:ind w:left="567" w:right="482"/>
        <w:rPr>
          <w:b/>
          <w:i w:val="0"/>
          <w:color w:val="000000" w:themeColor="text2"/>
        </w:rPr>
      </w:pPr>
      <w:r w:rsidRPr="00E92EC6">
        <w:rPr>
          <w:b/>
          <w:i w:val="0"/>
        </w:rPr>
        <w:t>Orientations d’Aménagement et de Programmation</w:t>
      </w:r>
      <w:r w:rsidR="006B3DAE" w:rsidRPr="00E92EC6">
        <w:rPr>
          <w:b/>
          <w:i w:val="0"/>
        </w:rPr>
        <w:t xml:space="preserve"> et Emplacements R</w:t>
      </w:r>
      <w:r w:rsidR="00FC56AB" w:rsidRPr="00E92EC6">
        <w:rPr>
          <w:b/>
          <w:i w:val="0"/>
        </w:rPr>
        <w:t>éservés</w:t>
      </w:r>
    </w:p>
    <w:p w14:paraId="6CA88D02" w14:textId="77777777" w:rsidR="005C6404" w:rsidRPr="00E76AF3" w:rsidRDefault="005C6404" w:rsidP="00835A6D">
      <w:pPr>
        <w:spacing w:line="240" w:lineRule="exact"/>
        <w:ind w:left="-142"/>
        <w:jc w:val="both"/>
        <w:rPr>
          <w:rFonts w:ascii="Arial" w:hAnsi="Arial" w:cs="Arial"/>
          <w:color w:val="000000" w:themeColor="text2"/>
          <w:sz w:val="18"/>
          <w:szCs w:val="18"/>
        </w:rPr>
      </w:pPr>
      <w:r w:rsidRPr="00E76AF3">
        <w:rPr>
          <w:rFonts w:ascii="Arial" w:hAnsi="Arial" w:cs="Arial"/>
          <w:color w:val="000000" w:themeColor="text2"/>
          <w:sz w:val="18"/>
          <w:szCs w:val="18"/>
        </w:rPr>
        <w:t xml:space="preserve">Les projets de rénovation, de développement urbain et autres orientations d’aménagements doivent être cohérents avec cette préoccupation et si possible privilégier des zones non impactées par nos ouvrages. </w:t>
      </w:r>
    </w:p>
    <w:p w14:paraId="00CB6270" w14:textId="3E553286" w:rsidR="005C6404" w:rsidRPr="00E76AF3" w:rsidRDefault="00E76AF3" w:rsidP="00835A6D">
      <w:pPr>
        <w:pStyle w:val="Paragraphedeliste"/>
        <w:spacing w:line="240" w:lineRule="exact"/>
        <w:ind w:left="-142"/>
        <w:rPr>
          <w:rFonts w:ascii="Arial" w:hAnsi="Arial" w:cs="Arial"/>
          <w:szCs w:val="18"/>
        </w:rPr>
      </w:pPr>
      <w:r w:rsidRPr="00E76AF3">
        <w:rPr>
          <w:rFonts w:ascii="Arial" w:hAnsi="Arial" w:cs="Arial"/>
          <w:szCs w:val="18"/>
          <w:u w:val="single"/>
        </w:rPr>
        <w:t>Dans l’hypothèse</w:t>
      </w:r>
      <w:r w:rsidR="005C6404" w:rsidRPr="00E76AF3">
        <w:rPr>
          <w:rFonts w:ascii="Arial" w:hAnsi="Arial" w:cs="Arial"/>
          <w:szCs w:val="18"/>
          <w:u w:val="single"/>
        </w:rPr>
        <w:t xml:space="preserve"> d’OAP</w:t>
      </w:r>
      <w:r w:rsidR="006B3DAE">
        <w:rPr>
          <w:rFonts w:ascii="Arial" w:hAnsi="Arial" w:cs="Arial"/>
          <w:szCs w:val="18"/>
          <w:u w:val="single"/>
        </w:rPr>
        <w:t xml:space="preserve"> et/ou d’emplacement réservé impactés</w:t>
      </w:r>
      <w:r w:rsidR="005C6404" w:rsidRPr="00E76AF3">
        <w:rPr>
          <w:rFonts w:ascii="Arial" w:hAnsi="Arial" w:cs="Arial"/>
          <w:szCs w:val="18"/>
          <w:u w:val="single"/>
        </w:rPr>
        <w:t xml:space="preserve"> par les SUP d’effets pour </w:t>
      </w:r>
      <w:r w:rsidRPr="00E76AF3">
        <w:rPr>
          <w:rFonts w:ascii="Arial" w:hAnsi="Arial" w:cs="Arial"/>
          <w:szCs w:val="18"/>
          <w:u w:val="single"/>
        </w:rPr>
        <w:t>la maitrise de l’urbanisation associées à</w:t>
      </w:r>
      <w:r w:rsidR="005C6404" w:rsidRPr="00E76AF3">
        <w:rPr>
          <w:rFonts w:ascii="Arial" w:hAnsi="Arial" w:cs="Arial"/>
          <w:szCs w:val="18"/>
          <w:u w:val="single"/>
        </w:rPr>
        <w:t xml:space="preserve"> nos ouvrages</w:t>
      </w:r>
      <w:r w:rsidR="005C6404" w:rsidRPr="00E76AF3">
        <w:rPr>
          <w:rFonts w:ascii="Arial" w:hAnsi="Arial" w:cs="Arial"/>
          <w:szCs w:val="18"/>
        </w:rPr>
        <w:t xml:space="preserve">, des incompatibilités peuvent exister et un dispositif particulier peut être prescrit pour améliorer la sécurité. </w:t>
      </w:r>
    </w:p>
    <w:p w14:paraId="158C0B9A" w14:textId="4EB6F7E3" w:rsidR="005C6404" w:rsidRPr="00E76AF3" w:rsidRDefault="005C6404" w:rsidP="00835A6D">
      <w:pPr>
        <w:pStyle w:val="Paragraphedeliste"/>
        <w:spacing w:line="240" w:lineRule="exact"/>
        <w:ind w:left="-142"/>
        <w:rPr>
          <w:rFonts w:ascii="Arial" w:hAnsi="Arial" w:cs="Arial"/>
          <w:szCs w:val="18"/>
        </w:rPr>
      </w:pPr>
      <w:r w:rsidRPr="00E76AF3">
        <w:rPr>
          <w:rFonts w:ascii="Arial" w:hAnsi="Arial" w:cs="Arial"/>
          <w:szCs w:val="18"/>
        </w:rPr>
        <w:t xml:space="preserve">Il sera donc nécessaire de consulter GRTgaz dès l’émergence </w:t>
      </w:r>
      <w:r w:rsidR="00835A6D" w:rsidRPr="00E76AF3">
        <w:rPr>
          <w:rFonts w:ascii="Arial" w:hAnsi="Arial" w:cs="Arial"/>
          <w:szCs w:val="18"/>
        </w:rPr>
        <w:t>du projet</w:t>
      </w:r>
      <w:r w:rsidRPr="00E76AF3">
        <w:rPr>
          <w:rFonts w:ascii="Arial" w:hAnsi="Arial" w:cs="Arial"/>
          <w:szCs w:val="18"/>
        </w:rPr>
        <w:t xml:space="preserve">. </w:t>
      </w:r>
    </w:p>
    <w:p w14:paraId="38A5CD2B" w14:textId="0AC866AA" w:rsidR="00D60328" w:rsidRDefault="005C6404" w:rsidP="00835A6D">
      <w:pPr>
        <w:pStyle w:val="Paragraphedeliste"/>
        <w:spacing w:line="240" w:lineRule="exact"/>
        <w:ind w:left="-142"/>
        <w:rPr>
          <w:rFonts w:ascii="Arial" w:hAnsi="Arial" w:cs="Arial"/>
          <w:szCs w:val="18"/>
        </w:rPr>
      </w:pPr>
      <w:r w:rsidRPr="00E76AF3">
        <w:rPr>
          <w:rFonts w:ascii="Arial" w:hAnsi="Arial" w:cs="Arial"/>
          <w:szCs w:val="18"/>
        </w:rPr>
        <w:t xml:space="preserve">Nous vous rappelons que GRTgaz ne souhaite pas se prononcer de manière favorable à la réalisation </w:t>
      </w:r>
      <w:r w:rsidR="00E76AF3" w:rsidRPr="00E76AF3">
        <w:rPr>
          <w:rFonts w:ascii="Arial" w:hAnsi="Arial" w:cs="Arial"/>
          <w:szCs w:val="18"/>
        </w:rPr>
        <w:t>de projets d’urbanisme dans les SUP</w:t>
      </w:r>
      <w:r w:rsidRPr="00E76AF3">
        <w:rPr>
          <w:rFonts w:ascii="Arial" w:hAnsi="Arial" w:cs="Arial"/>
          <w:szCs w:val="18"/>
        </w:rPr>
        <w:t xml:space="preserve"> associées à ses ouvrages. Il conviendra d’éloigner autant que possible tout projet des ouvrages impactant le territoire</w:t>
      </w:r>
      <w:r w:rsidR="00521679" w:rsidRPr="00E76AF3">
        <w:rPr>
          <w:rFonts w:ascii="Arial" w:hAnsi="Arial" w:cs="Arial"/>
          <w:szCs w:val="18"/>
        </w:rPr>
        <w:t xml:space="preserve"> de la commune ou de l’intercommunalité.</w:t>
      </w:r>
    </w:p>
    <w:p w14:paraId="45174F3D" w14:textId="77777777" w:rsidR="00D60328" w:rsidRDefault="00D60328">
      <w:pPr>
        <w:tabs>
          <w:tab w:val="clear" w:pos="1276"/>
          <w:tab w:val="clear" w:pos="5245"/>
        </w:tabs>
        <w:spacing w:line="240" w:lineRule="auto"/>
        <w:rPr>
          <w:rFonts w:ascii="Arial" w:eastAsia="Times New Roman" w:hAnsi="Arial" w:cs="Arial"/>
          <w:sz w:val="18"/>
          <w:szCs w:val="18"/>
        </w:rPr>
      </w:pPr>
      <w:bookmarkStart w:id="0" w:name="_GoBack"/>
      <w:bookmarkEnd w:id="0"/>
      <w:r>
        <w:rPr>
          <w:rFonts w:ascii="Arial" w:hAnsi="Arial" w:cs="Arial"/>
          <w:szCs w:val="18"/>
        </w:rPr>
        <w:br w:type="page"/>
      </w:r>
    </w:p>
    <w:p w14:paraId="46F05CF9" w14:textId="2ABDFE65" w:rsidR="005C6404" w:rsidRPr="00E92EC6" w:rsidRDefault="00FC56AB" w:rsidP="00FC56AB">
      <w:pPr>
        <w:pStyle w:val="Citationintense"/>
        <w:ind w:left="851" w:right="766"/>
        <w:rPr>
          <w:b/>
          <w:i w:val="0"/>
        </w:rPr>
      </w:pPr>
      <w:r w:rsidRPr="00E92EC6">
        <w:rPr>
          <w:b/>
          <w:i w:val="0"/>
        </w:rPr>
        <w:lastRenderedPageBreak/>
        <w:t>Règlement</w:t>
      </w:r>
    </w:p>
    <w:p w14:paraId="0E2BA5F6" w14:textId="32B327BA" w:rsidR="005C6404" w:rsidRPr="00E76AF3" w:rsidRDefault="005C6404" w:rsidP="00835A6D">
      <w:pPr>
        <w:pStyle w:val="Paragraphedeliste"/>
        <w:spacing w:line="240" w:lineRule="exact"/>
        <w:ind w:left="-142"/>
        <w:rPr>
          <w:rFonts w:ascii="Arial" w:hAnsi="Arial" w:cs="Arial"/>
          <w:szCs w:val="18"/>
        </w:rPr>
      </w:pPr>
      <w:r w:rsidRPr="00E76AF3">
        <w:rPr>
          <w:rFonts w:ascii="Arial" w:hAnsi="Arial" w:cs="Arial"/>
          <w:szCs w:val="18"/>
        </w:rPr>
        <w:t>La présence des ouvrages GRTgaz doit être signalée avec le rappel des SUP d’implantation et de passage et des distances des SUP d’effets pour la maitrise de l’urbanisation.</w:t>
      </w:r>
    </w:p>
    <w:p w14:paraId="4A341DB2" w14:textId="2EB5CE9F" w:rsidR="005C6404" w:rsidRPr="00E76AF3" w:rsidRDefault="005C6404" w:rsidP="00835A6D">
      <w:pPr>
        <w:pStyle w:val="Paragraphedeliste"/>
        <w:spacing w:line="240" w:lineRule="exact"/>
        <w:ind w:left="-142"/>
        <w:rPr>
          <w:rFonts w:ascii="Arial" w:hAnsi="Arial" w:cs="Arial"/>
          <w:szCs w:val="18"/>
        </w:rPr>
      </w:pPr>
      <w:r w:rsidRPr="00E76AF3">
        <w:rPr>
          <w:rFonts w:ascii="Arial" w:hAnsi="Arial" w:cs="Arial"/>
          <w:szCs w:val="18"/>
        </w:rPr>
        <w:t>Plus particulièrement, il conviendra d’indiquer dans les dispositions générales et/ou dans chaque zone concernée par les ouvrages GRTgaz :</w:t>
      </w:r>
    </w:p>
    <w:p w14:paraId="4C640576" w14:textId="77777777" w:rsidR="005C6404" w:rsidRPr="00E76AF3" w:rsidRDefault="005C6404" w:rsidP="006B3DAE">
      <w:pPr>
        <w:pStyle w:val="Paragraphedeliste"/>
        <w:numPr>
          <w:ilvl w:val="0"/>
          <w:numId w:val="37"/>
        </w:numPr>
        <w:spacing w:before="120" w:line="240" w:lineRule="exact"/>
        <w:ind w:left="284" w:hanging="142"/>
        <w:contextualSpacing w:val="0"/>
        <w:rPr>
          <w:rFonts w:ascii="Arial" w:hAnsi="Arial" w:cs="Arial"/>
          <w:szCs w:val="18"/>
        </w:rPr>
      </w:pPr>
      <w:r w:rsidRPr="00E76AF3">
        <w:rPr>
          <w:rFonts w:ascii="Arial" w:hAnsi="Arial" w:cs="Arial"/>
          <w:szCs w:val="18"/>
        </w:rPr>
        <w:t>Pour permettre une bonne exploitation du réseau GRTgaz, il est souhaitable de faire apparaître, en tête du règlement des zones du PLU, la mention suivante :</w:t>
      </w:r>
    </w:p>
    <w:p w14:paraId="34326ADE" w14:textId="77777777" w:rsidR="005C6404" w:rsidRPr="00E76AF3" w:rsidRDefault="005C6404" w:rsidP="006B3DAE">
      <w:pPr>
        <w:pStyle w:val="Paragraphedeliste"/>
        <w:spacing w:after="120" w:line="240" w:lineRule="exact"/>
        <w:ind w:left="284"/>
        <w:contextualSpacing w:val="0"/>
        <w:rPr>
          <w:rFonts w:ascii="Arial" w:hAnsi="Arial" w:cs="Arial"/>
          <w:szCs w:val="18"/>
        </w:rPr>
      </w:pPr>
      <w:r w:rsidRPr="00E76AF3">
        <w:rPr>
          <w:rFonts w:ascii="Arial" w:hAnsi="Arial" w:cs="Arial"/>
          <w:i/>
          <w:szCs w:val="18"/>
        </w:rPr>
        <w:t>« Sont admis, dans l’ensemble des zones définies ci-après sauf mention contraire, les canalisations (conduites enterrées et installations annexes) de transport de gaz ou assimilé y compris les ouvrages techniques nécessaires à leur fonctionnement et leur bornage, ainsi que les affouillements et exhaussements inhérents à leur construction et aux interventions ultérieures relatives au maintien de la sécurité. »</w:t>
      </w:r>
    </w:p>
    <w:p w14:paraId="0D3A88D0" w14:textId="0FC47525" w:rsidR="005C6404" w:rsidRPr="00E76AF3" w:rsidRDefault="005C6404" w:rsidP="00E76AF3">
      <w:pPr>
        <w:pStyle w:val="Paragraphedeliste"/>
        <w:numPr>
          <w:ilvl w:val="0"/>
          <w:numId w:val="37"/>
        </w:numPr>
        <w:spacing w:before="120" w:line="240" w:lineRule="exact"/>
        <w:ind w:left="284" w:hanging="142"/>
        <w:contextualSpacing w:val="0"/>
        <w:rPr>
          <w:rFonts w:ascii="Arial" w:hAnsi="Arial" w:cs="Arial"/>
          <w:szCs w:val="18"/>
        </w:rPr>
      </w:pPr>
      <w:r w:rsidRPr="00E76AF3">
        <w:rPr>
          <w:rFonts w:ascii="Arial" w:hAnsi="Arial" w:cs="Arial"/>
          <w:szCs w:val="18"/>
        </w:rPr>
        <w:t>Les interdictions et règles d’implantation associées aux servitudes d’implantation et de passage des canalisations (zone non aedificandi et non sylvandi).</w:t>
      </w:r>
    </w:p>
    <w:p w14:paraId="199F55F4" w14:textId="3E8271A2" w:rsidR="005C6404" w:rsidRPr="00E76AF3" w:rsidRDefault="005C6404" w:rsidP="00E76AF3">
      <w:pPr>
        <w:pStyle w:val="Paragraphedeliste"/>
        <w:numPr>
          <w:ilvl w:val="0"/>
          <w:numId w:val="37"/>
        </w:numPr>
        <w:spacing w:before="120" w:line="240" w:lineRule="exact"/>
        <w:ind w:left="284" w:hanging="142"/>
        <w:contextualSpacing w:val="0"/>
        <w:rPr>
          <w:rFonts w:ascii="Arial" w:hAnsi="Arial" w:cs="Arial"/>
          <w:szCs w:val="18"/>
        </w:rPr>
      </w:pPr>
      <w:r w:rsidRPr="00E76AF3">
        <w:rPr>
          <w:rFonts w:ascii="Arial" w:hAnsi="Arial" w:cs="Arial"/>
          <w:szCs w:val="18"/>
        </w:rPr>
        <w:t>Les interdictions et règles d’implantations associées aux servitudes d’utilité publique d’effets pou</w:t>
      </w:r>
      <w:r w:rsidR="00521679" w:rsidRPr="00E76AF3">
        <w:rPr>
          <w:rFonts w:ascii="Arial" w:hAnsi="Arial" w:cs="Arial"/>
          <w:szCs w:val="18"/>
        </w:rPr>
        <w:t>r la maitrise de l’urbanisation</w:t>
      </w:r>
      <w:r w:rsidRPr="00E76AF3">
        <w:rPr>
          <w:rFonts w:ascii="Arial" w:hAnsi="Arial" w:cs="Arial"/>
          <w:szCs w:val="18"/>
        </w:rPr>
        <w:t xml:space="preserve"> et de détailler les modalités de l’analyse de compatibilité.</w:t>
      </w:r>
    </w:p>
    <w:p w14:paraId="10B12292" w14:textId="77777777" w:rsidR="005C6404" w:rsidRPr="00E76AF3" w:rsidRDefault="005C6404" w:rsidP="00E76AF3">
      <w:pPr>
        <w:pStyle w:val="Paragraphedeliste"/>
        <w:numPr>
          <w:ilvl w:val="0"/>
          <w:numId w:val="37"/>
        </w:numPr>
        <w:spacing w:before="120" w:line="240" w:lineRule="exact"/>
        <w:ind w:left="284" w:hanging="142"/>
        <w:contextualSpacing w:val="0"/>
        <w:rPr>
          <w:rFonts w:ascii="Arial" w:hAnsi="Arial" w:cs="Arial"/>
          <w:szCs w:val="18"/>
        </w:rPr>
      </w:pPr>
      <w:r w:rsidRPr="00E76AF3">
        <w:rPr>
          <w:rFonts w:ascii="Arial" w:hAnsi="Arial" w:cs="Arial"/>
          <w:b/>
          <w:szCs w:val="18"/>
        </w:rPr>
        <w:t>L’obligation d’informer GRTgaz</w:t>
      </w:r>
      <w:r w:rsidRPr="00E76AF3">
        <w:rPr>
          <w:rFonts w:ascii="Arial" w:hAnsi="Arial" w:cs="Arial"/>
          <w:szCs w:val="18"/>
        </w:rPr>
        <w:t xml:space="preserve"> de toute demande de </w:t>
      </w:r>
      <w:r w:rsidRPr="00E76AF3">
        <w:rPr>
          <w:rFonts w:ascii="Arial" w:hAnsi="Arial" w:cs="Arial"/>
          <w:iCs/>
          <w:szCs w:val="18"/>
        </w:rPr>
        <w:t>permis de construire, de certificat d’urbanisme opérationnel ou de permis d’aménager concernant un projet situé dans l’une des zones précitées de nos ouvrages</w:t>
      </w:r>
      <w:r w:rsidRPr="00E76AF3">
        <w:rPr>
          <w:rFonts w:ascii="Arial" w:hAnsi="Arial" w:cs="Arial"/>
          <w:i/>
          <w:iCs/>
          <w:szCs w:val="18"/>
        </w:rPr>
        <w:t xml:space="preserve"> (Art. R. 555-30-1. – I issu du code de l’environnement, créé par le décret n° 2017-1557 du 10 novembre 2017)</w:t>
      </w:r>
    </w:p>
    <w:p w14:paraId="1E39BE5F" w14:textId="77777777" w:rsidR="005C6404" w:rsidRPr="00E76AF3" w:rsidRDefault="005C6404" w:rsidP="00E76AF3">
      <w:pPr>
        <w:pStyle w:val="Paragraphedeliste"/>
        <w:numPr>
          <w:ilvl w:val="0"/>
          <w:numId w:val="37"/>
        </w:numPr>
        <w:spacing w:before="120" w:line="240" w:lineRule="exact"/>
        <w:ind w:left="284" w:hanging="142"/>
        <w:contextualSpacing w:val="0"/>
        <w:rPr>
          <w:rFonts w:ascii="Arial" w:hAnsi="Arial" w:cs="Arial"/>
          <w:szCs w:val="18"/>
        </w:rPr>
      </w:pPr>
      <w:r w:rsidRPr="00E76AF3">
        <w:rPr>
          <w:rFonts w:ascii="Arial" w:hAnsi="Arial" w:cs="Arial"/>
          <w:szCs w:val="18"/>
        </w:rPr>
        <w:t>La règlementation anti-endommagement en rappelant le site internet du Guichet Unique des réseaux pour les Déclarations de Travaux (DT) et Déclaration d’Intention de Commencement de Travaux (DICT).</w:t>
      </w:r>
    </w:p>
    <w:p w14:paraId="2848F384" w14:textId="77777777" w:rsidR="005C6404" w:rsidRPr="00E76AF3" w:rsidRDefault="005C6404" w:rsidP="00835A6D">
      <w:pPr>
        <w:pStyle w:val="Paragraphedeliste"/>
        <w:spacing w:line="240" w:lineRule="exact"/>
        <w:ind w:left="-284"/>
        <w:rPr>
          <w:rFonts w:ascii="Arial" w:hAnsi="Arial" w:cs="Arial"/>
          <w:szCs w:val="18"/>
        </w:rPr>
      </w:pPr>
    </w:p>
    <w:p w14:paraId="7FAF2F58" w14:textId="77777777" w:rsidR="00521679" w:rsidRPr="00E76AF3" w:rsidRDefault="00521679" w:rsidP="00835A6D">
      <w:pPr>
        <w:spacing w:line="240" w:lineRule="exact"/>
        <w:ind w:left="-142"/>
        <w:jc w:val="both"/>
        <w:rPr>
          <w:rFonts w:ascii="Arial" w:hAnsi="Arial" w:cs="Arial"/>
          <w:sz w:val="18"/>
          <w:szCs w:val="18"/>
        </w:rPr>
      </w:pPr>
      <w:r w:rsidRPr="00E76AF3">
        <w:rPr>
          <w:rFonts w:ascii="Arial" w:hAnsi="Arial" w:cs="Arial"/>
          <w:sz w:val="18"/>
          <w:szCs w:val="18"/>
        </w:rPr>
        <w:t>Comme l’indique la Note Technique du 7 janvier 2016 du Ministère de l’écologie, du développement durable et de l’énergie « il relève de la seule responsabilité des maires ou collectivités en charge de l’élaboration des documents d’urbanisme de fixer, le cas échéant, des contraintes d’urbanisme pour d’autres catégories de constructions que les ERP et IGH ».</w:t>
      </w:r>
    </w:p>
    <w:p w14:paraId="7A422A12" w14:textId="77777777" w:rsidR="005C6404" w:rsidRPr="00E76AF3" w:rsidRDefault="005C6404" w:rsidP="00835A6D">
      <w:pPr>
        <w:autoSpaceDE w:val="0"/>
        <w:autoSpaceDN w:val="0"/>
        <w:adjustRightInd w:val="0"/>
        <w:spacing w:line="240" w:lineRule="exact"/>
        <w:ind w:left="-284"/>
        <w:jc w:val="both"/>
        <w:rPr>
          <w:rFonts w:ascii="Arial" w:hAnsi="Arial" w:cs="Arial"/>
          <w:sz w:val="18"/>
          <w:szCs w:val="18"/>
        </w:rPr>
      </w:pPr>
    </w:p>
    <w:p w14:paraId="5754DC50" w14:textId="38961C75" w:rsidR="005C6404" w:rsidRPr="00E92EC6" w:rsidRDefault="00521679" w:rsidP="00FC56AB">
      <w:pPr>
        <w:pStyle w:val="Citationintense"/>
        <w:ind w:left="851" w:right="766"/>
        <w:rPr>
          <w:b/>
          <w:i w:val="0"/>
          <w:color w:val="000000" w:themeColor="text2"/>
        </w:rPr>
      </w:pPr>
      <w:r w:rsidRPr="00E92EC6">
        <w:rPr>
          <w:b/>
          <w:i w:val="0"/>
        </w:rPr>
        <w:t>Document</w:t>
      </w:r>
      <w:r w:rsidR="005C6404" w:rsidRPr="00E92EC6">
        <w:rPr>
          <w:b/>
          <w:i w:val="0"/>
        </w:rPr>
        <w:t xml:space="preserve"> graphique du règlement </w:t>
      </w:r>
      <w:r w:rsidR="00FC56AB" w:rsidRPr="00E92EC6">
        <w:rPr>
          <w:b/>
          <w:i w:val="0"/>
        </w:rPr>
        <w:t>– plan de zonage</w:t>
      </w:r>
    </w:p>
    <w:p w14:paraId="4A23FC8D" w14:textId="406F7BEB" w:rsidR="00521679" w:rsidRDefault="00521679" w:rsidP="00835A6D">
      <w:pPr>
        <w:pStyle w:val="Paragraphedeliste"/>
        <w:spacing w:line="240" w:lineRule="exact"/>
        <w:ind w:left="-142"/>
        <w:rPr>
          <w:rFonts w:ascii="Arial" w:hAnsi="Arial" w:cs="Arial"/>
          <w:szCs w:val="18"/>
        </w:rPr>
      </w:pPr>
      <w:r w:rsidRPr="00E76AF3">
        <w:rPr>
          <w:rFonts w:ascii="Arial" w:hAnsi="Arial" w:cs="Arial"/>
          <w:szCs w:val="18"/>
        </w:rPr>
        <w:t xml:space="preserve">Les SUP d’effets pour la maîtrise de l’urbanisation de tous les ouvrages GRTgaz (SUP1, qui englobe la SUP d’implantation et de passage) doivent apparaître dans les documents graphiques du règlement des zones, en application de l’article R.151-34 du code de l’urbanisme. Les risques technologiques induits par la présence des ouvrages de transport de gaz sont à prendre en compte notamment pour la construction et l’ouverture d’ERP de plus de 100 personnes et d’IGH. </w:t>
      </w:r>
    </w:p>
    <w:p w14:paraId="1798286F" w14:textId="77777777" w:rsidR="00810341" w:rsidRPr="00E76AF3" w:rsidRDefault="00810341" w:rsidP="00835A6D">
      <w:pPr>
        <w:pStyle w:val="Paragraphedeliste"/>
        <w:spacing w:line="240" w:lineRule="exact"/>
        <w:ind w:left="-142"/>
        <w:rPr>
          <w:rFonts w:ascii="Arial" w:hAnsi="Arial" w:cs="Arial"/>
          <w:szCs w:val="18"/>
        </w:rPr>
      </w:pPr>
    </w:p>
    <w:p w14:paraId="5A4E38FF" w14:textId="1C48D6DE" w:rsidR="005C6404" w:rsidRPr="00E92EC6" w:rsidRDefault="005C6404" w:rsidP="00FC56AB">
      <w:pPr>
        <w:pStyle w:val="Citationintense"/>
        <w:ind w:left="851" w:right="766"/>
        <w:rPr>
          <w:b/>
          <w:i w:val="0"/>
        </w:rPr>
      </w:pPr>
      <w:r w:rsidRPr="00E92EC6">
        <w:rPr>
          <w:b/>
          <w:i w:val="0"/>
        </w:rPr>
        <w:t>Change</w:t>
      </w:r>
      <w:r w:rsidR="00FC56AB" w:rsidRPr="00E92EC6">
        <w:rPr>
          <w:b/>
          <w:i w:val="0"/>
        </w:rPr>
        <w:t>ment de destination des zones</w:t>
      </w:r>
    </w:p>
    <w:p w14:paraId="05ED6E8C" w14:textId="05DD45B9" w:rsidR="005C6404" w:rsidRPr="00E76AF3" w:rsidRDefault="005C6404" w:rsidP="00835A6D">
      <w:pPr>
        <w:spacing w:line="240" w:lineRule="exact"/>
        <w:ind w:left="-142"/>
        <w:jc w:val="both"/>
        <w:rPr>
          <w:rFonts w:ascii="Arial" w:hAnsi="Arial" w:cs="Arial"/>
          <w:sz w:val="18"/>
          <w:szCs w:val="18"/>
        </w:rPr>
      </w:pPr>
      <w:r w:rsidRPr="00E76AF3">
        <w:rPr>
          <w:rFonts w:ascii="Arial" w:hAnsi="Arial" w:cs="Arial"/>
          <w:sz w:val="18"/>
          <w:szCs w:val="18"/>
        </w:rPr>
        <w:t>Les changements de destination devront être conformes aux spécifications de</w:t>
      </w:r>
      <w:r w:rsidR="00B85A53">
        <w:rPr>
          <w:rFonts w:ascii="Arial" w:hAnsi="Arial" w:cs="Arial"/>
          <w:sz w:val="18"/>
          <w:szCs w:val="18"/>
        </w:rPr>
        <w:t>s ouvrages</w:t>
      </w:r>
      <w:r w:rsidRPr="00E76AF3">
        <w:rPr>
          <w:rFonts w:ascii="Arial" w:hAnsi="Arial" w:cs="Arial"/>
          <w:sz w:val="18"/>
          <w:szCs w:val="18"/>
        </w:rPr>
        <w:t xml:space="preserve"> de transport </w:t>
      </w:r>
      <w:r w:rsidR="00B85A53">
        <w:rPr>
          <w:rFonts w:ascii="Arial" w:hAnsi="Arial" w:cs="Arial"/>
          <w:sz w:val="18"/>
          <w:szCs w:val="18"/>
        </w:rPr>
        <w:t xml:space="preserve">de gaz naturel haute pression et </w:t>
      </w:r>
      <w:r w:rsidRPr="00E76AF3">
        <w:rPr>
          <w:rFonts w:ascii="Arial" w:hAnsi="Arial" w:cs="Arial"/>
          <w:sz w:val="18"/>
          <w:szCs w:val="18"/>
        </w:rPr>
        <w:t xml:space="preserve">de </w:t>
      </w:r>
      <w:r w:rsidRPr="00E76AF3">
        <w:rPr>
          <w:rFonts w:ascii="Arial" w:hAnsi="Arial" w:cs="Arial"/>
          <w:color w:val="000000" w:themeColor="text2"/>
          <w:sz w:val="18"/>
          <w:szCs w:val="18"/>
        </w:rPr>
        <w:t>leurs SUP d’effets pour la maîtrise de l’urbanisation</w:t>
      </w:r>
      <w:r w:rsidRPr="00E76AF3">
        <w:rPr>
          <w:rFonts w:ascii="Arial" w:hAnsi="Arial" w:cs="Arial"/>
          <w:sz w:val="18"/>
          <w:szCs w:val="18"/>
        </w:rPr>
        <w:t xml:space="preserve">. </w:t>
      </w:r>
    </w:p>
    <w:p w14:paraId="00B6B785" w14:textId="77777777" w:rsidR="005C6404" w:rsidRPr="00E76AF3" w:rsidRDefault="005C6404" w:rsidP="00835A6D">
      <w:pPr>
        <w:pStyle w:val="Paragraphedeliste"/>
        <w:spacing w:line="240" w:lineRule="exact"/>
        <w:ind w:left="-142"/>
        <w:rPr>
          <w:rFonts w:ascii="Arial" w:hAnsi="Arial" w:cs="Arial"/>
          <w:szCs w:val="18"/>
        </w:rPr>
      </w:pPr>
      <w:r w:rsidRPr="00E76AF3">
        <w:rPr>
          <w:rFonts w:ascii="Arial" w:hAnsi="Arial" w:cs="Arial"/>
          <w:color w:val="000000" w:themeColor="text2"/>
          <w:szCs w:val="18"/>
        </w:rPr>
        <w:t>Il convient d’éviter la création de zone urbaine (U) ou à urbaniser (AU) dans les SUP des ouvrages GRTgaz et la densification des zones déjà ouvertes à l’urbanisation.</w:t>
      </w:r>
    </w:p>
    <w:p w14:paraId="7CAB27CE" w14:textId="77777777" w:rsidR="005C6404" w:rsidRPr="00E76AF3" w:rsidRDefault="005C6404" w:rsidP="00835A6D">
      <w:pPr>
        <w:pStyle w:val="Paragraphedeliste"/>
        <w:spacing w:line="240" w:lineRule="exact"/>
        <w:ind w:left="-284"/>
        <w:rPr>
          <w:rFonts w:ascii="Arial" w:hAnsi="Arial" w:cs="Arial"/>
          <w:szCs w:val="18"/>
        </w:rPr>
      </w:pPr>
    </w:p>
    <w:p w14:paraId="1FD1AB9E" w14:textId="6BFC500B" w:rsidR="005C6404" w:rsidRPr="00E92EC6" w:rsidRDefault="00FC56AB" w:rsidP="00FC56AB">
      <w:pPr>
        <w:pStyle w:val="Citationintense"/>
        <w:ind w:left="851" w:right="766"/>
        <w:rPr>
          <w:b/>
          <w:i w:val="0"/>
        </w:rPr>
      </w:pPr>
      <w:r w:rsidRPr="00E92EC6">
        <w:rPr>
          <w:b/>
          <w:i w:val="0"/>
        </w:rPr>
        <w:lastRenderedPageBreak/>
        <w:t>Espaces Boisées Classés</w:t>
      </w:r>
    </w:p>
    <w:p w14:paraId="49B184F8" w14:textId="42B07741" w:rsidR="005C6404" w:rsidRPr="00E76AF3" w:rsidRDefault="005C6404" w:rsidP="00835A6D">
      <w:pPr>
        <w:spacing w:line="240" w:lineRule="exact"/>
        <w:ind w:left="-142"/>
        <w:jc w:val="both"/>
        <w:rPr>
          <w:rFonts w:ascii="Arial" w:hAnsi="Arial" w:cs="Arial"/>
          <w:sz w:val="18"/>
          <w:szCs w:val="18"/>
          <w:highlight w:val="yellow"/>
        </w:rPr>
      </w:pPr>
      <w:r w:rsidRPr="00E76AF3">
        <w:rPr>
          <w:rFonts w:ascii="Arial" w:hAnsi="Arial" w:cs="Arial"/>
          <w:sz w:val="18"/>
          <w:szCs w:val="18"/>
        </w:rPr>
        <w:t xml:space="preserve">La présence de </w:t>
      </w:r>
      <w:r w:rsidR="00521679" w:rsidRPr="00E76AF3">
        <w:rPr>
          <w:rFonts w:ascii="Arial" w:hAnsi="Arial" w:cs="Arial"/>
          <w:sz w:val="18"/>
          <w:szCs w:val="18"/>
        </w:rPr>
        <w:t>nos</w:t>
      </w:r>
      <w:r w:rsidRPr="00E76AF3">
        <w:rPr>
          <w:rFonts w:ascii="Arial" w:hAnsi="Arial" w:cs="Arial"/>
          <w:sz w:val="18"/>
          <w:szCs w:val="18"/>
        </w:rPr>
        <w:t xml:space="preserve"> ouvrage</w:t>
      </w:r>
      <w:r w:rsidR="00521679" w:rsidRPr="00E76AF3">
        <w:rPr>
          <w:rFonts w:ascii="Arial" w:hAnsi="Arial" w:cs="Arial"/>
          <w:sz w:val="18"/>
          <w:szCs w:val="18"/>
        </w:rPr>
        <w:t>s</w:t>
      </w:r>
      <w:r w:rsidRPr="00E76AF3">
        <w:rPr>
          <w:rFonts w:ascii="Arial" w:hAnsi="Arial" w:cs="Arial"/>
          <w:sz w:val="18"/>
          <w:szCs w:val="18"/>
        </w:rPr>
        <w:t xml:space="preserve"> et </w:t>
      </w:r>
      <w:r w:rsidR="00521679" w:rsidRPr="00E76AF3">
        <w:rPr>
          <w:rFonts w:ascii="Arial" w:hAnsi="Arial" w:cs="Arial"/>
          <w:sz w:val="18"/>
          <w:szCs w:val="18"/>
        </w:rPr>
        <w:t>leur</w:t>
      </w:r>
      <w:r w:rsidRPr="00E76AF3">
        <w:rPr>
          <w:rFonts w:ascii="Arial" w:hAnsi="Arial" w:cs="Arial"/>
          <w:sz w:val="18"/>
          <w:szCs w:val="18"/>
        </w:rPr>
        <w:t xml:space="preserve"> bande de </w:t>
      </w:r>
      <w:r w:rsidRPr="00E76AF3">
        <w:rPr>
          <w:rFonts w:ascii="Arial" w:hAnsi="Arial" w:cs="Arial"/>
          <w:sz w:val="18"/>
          <w:szCs w:val="18"/>
          <w:u w:val="single"/>
        </w:rPr>
        <w:t>servitude d’implantation</w:t>
      </w:r>
      <w:r w:rsidRPr="00E76AF3">
        <w:rPr>
          <w:rFonts w:ascii="Arial" w:hAnsi="Arial" w:cs="Arial"/>
          <w:sz w:val="18"/>
          <w:szCs w:val="18"/>
        </w:rPr>
        <w:t xml:space="preserve"> ne sont pas compatibles avec un Espace Boisé Classé. Pour mémoire, cette bande de servitude est une bande de libre passage. Cette bande est </w:t>
      </w:r>
      <w:r w:rsidRPr="00E76AF3">
        <w:rPr>
          <w:rFonts w:ascii="Arial" w:hAnsi="Arial" w:cs="Arial"/>
          <w:i/>
          <w:sz w:val="18"/>
          <w:szCs w:val="18"/>
        </w:rPr>
        <w:t>non-aedificandi</w:t>
      </w:r>
      <w:r w:rsidRPr="00E76AF3">
        <w:rPr>
          <w:rFonts w:ascii="Arial" w:hAnsi="Arial" w:cs="Arial"/>
          <w:sz w:val="18"/>
          <w:szCs w:val="18"/>
        </w:rPr>
        <w:t xml:space="preserve"> et </w:t>
      </w:r>
      <w:r w:rsidRPr="00E76AF3">
        <w:rPr>
          <w:rFonts w:ascii="Arial" w:hAnsi="Arial" w:cs="Arial"/>
          <w:i/>
          <w:sz w:val="18"/>
          <w:szCs w:val="18"/>
        </w:rPr>
        <w:t>non-sylvandi</w:t>
      </w:r>
      <w:r w:rsidRPr="00E76AF3">
        <w:rPr>
          <w:rFonts w:ascii="Arial" w:hAnsi="Arial" w:cs="Arial"/>
          <w:sz w:val="18"/>
          <w:szCs w:val="18"/>
        </w:rPr>
        <w:t>. Dans cette bande, les constructions, la modification du profil du terrain, les plantations d’arbres ou arbustes potentiellement de plus de 2,7 mètres de hauteur et toutes pratiques culturales dépassant plus de 0,6 mètres de profondeur sont interdites.</w:t>
      </w:r>
    </w:p>
    <w:p w14:paraId="3A46FD41" w14:textId="77777777" w:rsidR="005C6404" w:rsidRPr="00E76AF3" w:rsidRDefault="005C6404" w:rsidP="00835A6D">
      <w:pPr>
        <w:pStyle w:val="Paragraphedeliste"/>
        <w:spacing w:line="240" w:lineRule="exact"/>
        <w:ind w:left="-142"/>
        <w:rPr>
          <w:rFonts w:ascii="Arial" w:hAnsi="Arial" w:cs="Arial"/>
          <w:szCs w:val="18"/>
        </w:rPr>
      </w:pPr>
    </w:p>
    <w:p w14:paraId="506E7450" w14:textId="5B669D96" w:rsidR="005C6404" w:rsidRPr="00E92EC6" w:rsidRDefault="005C6404" w:rsidP="00FC56AB">
      <w:pPr>
        <w:pStyle w:val="Citationintense"/>
        <w:ind w:left="851" w:right="766"/>
        <w:rPr>
          <w:b/>
          <w:i w:val="0"/>
        </w:rPr>
      </w:pPr>
      <w:r w:rsidRPr="00E92EC6">
        <w:rPr>
          <w:b/>
          <w:i w:val="0"/>
        </w:rPr>
        <w:t>Plan des</w:t>
      </w:r>
      <w:r w:rsidR="00FC56AB" w:rsidRPr="00E92EC6">
        <w:rPr>
          <w:b/>
          <w:i w:val="0"/>
        </w:rPr>
        <w:t xml:space="preserve"> Servitudes d’Utilité Publique</w:t>
      </w:r>
    </w:p>
    <w:p w14:paraId="4BCC1443" w14:textId="2FADCADE" w:rsidR="00521679" w:rsidRPr="00E76AF3" w:rsidRDefault="00521679" w:rsidP="00835A6D">
      <w:pPr>
        <w:pStyle w:val="Paragraphedeliste"/>
        <w:spacing w:line="240" w:lineRule="exact"/>
        <w:ind w:left="-142"/>
        <w:rPr>
          <w:rFonts w:ascii="Arial" w:hAnsi="Arial" w:cs="Arial"/>
          <w:szCs w:val="18"/>
        </w:rPr>
      </w:pPr>
      <w:r w:rsidRPr="00E76AF3">
        <w:rPr>
          <w:rFonts w:ascii="Arial" w:hAnsi="Arial" w:cs="Arial"/>
          <w:szCs w:val="18"/>
        </w:rPr>
        <w:t>La représentation des Servitude</w:t>
      </w:r>
      <w:r w:rsidR="006B3DAE">
        <w:rPr>
          <w:rFonts w:ascii="Arial" w:hAnsi="Arial" w:cs="Arial"/>
          <w:szCs w:val="18"/>
        </w:rPr>
        <w:t>s</w:t>
      </w:r>
      <w:r w:rsidRPr="00E76AF3">
        <w:rPr>
          <w:rFonts w:ascii="Arial" w:hAnsi="Arial" w:cs="Arial"/>
          <w:szCs w:val="18"/>
        </w:rPr>
        <w:t xml:space="preserve"> d’Utilité Publique de tous les ouvrages doit </w:t>
      </w:r>
      <w:r w:rsidR="006B3DAE">
        <w:rPr>
          <w:rFonts w:ascii="Arial" w:hAnsi="Arial" w:cs="Arial"/>
          <w:szCs w:val="18"/>
        </w:rPr>
        <w:t>être matérialisée sur le plan (s</w:t>
      </w:r>
      <w:r w:rsidRPr="00E76AF3">
        <w:rPr>
          <w:rFonts w:ascii="Arial" w:hAnsi="Arial" w:cs="Arial"/>
          <w:szCs w:val="18"/>
        </w:rPr>
        <w:t>ervitude d’implantation et de passage I3 et SUP 1 pour intégrer les SUP de maîtrise de l’urbanisation).</w:t>
      </w:r>
    </w:p>
    <w:p w14:paraId="6C1FB9A0" w14:textId="77777777" w:rsidR="005C6404" w:rsidRPr="00E76AF3" w:rsidRDefault="005C6404" w:rsidP="00835A6D">
      <w:pPr>
        <w:pStyle w:val="Paragraphedeliste"/>
        <w:spacing w:line="240" w:lineRule="exact"/>
        <w:ind w:left="-142"/>
        <w:rPr>
          <w:rFonts w:ascii="Arial" w:hAnsi="Arial" w:cs="Arial"/>
          <w:szCs w:val="18"/>
          <w:highlight w:val="yellow"/>
        </w:rPr>
      </w:pPr>
    </w:p>
    <w:p w14:paraId="18211A6D" w14:textId="5D547DE3" w:rsidR="005C6404" w:rsidRPr="00E92EC6" w:rsidRDefault="005C6404" w:rsidP="00FC56AB">
      <w:pPr>
        <w:pStyle w:val="Citationintense"/>
        <w:ind w:left="851" w:right="766"/>
        <w:rPr>
          <w:b/>
          <w:i w:val="0"/>
        </w:rPr>
      </w:pPr>
      <w:r w:rsidRPr="00E92EC6">
        <w:rPr>
          <w:b/>
          <w:i w:val="0"/>
        </w:rPr>
        <w:t xml:space="preserve">Liste des </w:t>
      </w:r>
      <w:r w:rsidR="00FC56AB" w:rsidRPr="00E92EC6">
        <w:rPr>
          <w:b/>
          <w:i w:val="0"/>
        </w:rPr>
        <w:t>Servitudes d’Utilité Publique</w:t>
      </w:r>
    </w:p>
    <w:p w14:paraId="15DD5FAC" w14:textId="25F23EEA" w:rsidR="005C6404" w:rsidRPr="00E76AF3" w:rsidRDefault="005C6404" w:rsidP="00835A6D">
      <w:pPr>
        <w:pStyle w:val="Paragraphedeliste"/>
        <w:spacing w:line="240" w:lineRule="exact"/>
        <w:ind w:left="-142"/>
        <w:rPr>
          <w:rFonts w:ascii="Arial" w:hAnsi="Arial" w:cs="Arial"/>
          <w:szCs w:val="18"/>
        </w:rPr>
      </w:pPr>
      <w:r w:rsidRPr="00E76AF3">
        <w:rPr>
          <w:rFonts w:ascii="Arial" w:hAnsi="Arial" w:cs="Arial"/>
          <w:szCs w:val="18"/>
        </w:rPr>
        <w:t>Le détail de la servitude I3 (SUP d’implantation et de passage) doit être rappelé en précisant la largeur de la zone non-aedificandi et non-sylvandi</w:t>
      </w:r>
      <w:r w:rsidR="006B3DAE">
        <w:rPr>
          <w:rFonts w:ascii="Arial" w:hAnsi="Arial" w:cs="Arial"/>
          <w:szCs w:val="18"/>
        </w:rPr>
        <w:t xml:space="preserve"> des </w:t>
      </w:r>
      <w:r w:rsidR="00DE622F">
        <w:rPr>
          <w:rFonts w:ascii="Arial" w:hAnsi="Arial" w:cs="Arial"/>
          <w:szCs w:val="18"/>
        </w:rPr>
        <w:t>canalisations</w:t>
      </w:r>
      <w:r w:rsidRPr="00E76AF3">
        <w:rPr>
          <w:rFonts w:ascii="Arial" w:hAnsi="Arial" w:cs="Arial"/>
          <w:szCs w:val="18"/>
        </w:rPr>
        <w:t>.</w:t>
      </w:r>
    </w:p>
    <w:p w14:paraId="68AC0653" w14:textId="47A103DD" w:rsidR="005C6404" w:rsidRPr="00E76AF3" w:rsidRDefault="006B3DAE" w:rsidP="00835A6D">
      <w:pPr>
        <w:pStyle w:val="Paragraphedeliste"/>
        <w:spacing w:line="240" w:lineRule="exact"/>
        <w:ind w:left="-142"/>
        <w:rPr>
          <w:rFonts w:ascii="Arial" w:hAnsi="Arial" w:cs="Arial"/>
          <w:szCs w:val="18"/>
        </w:rPr>
      </w:pPr>
      <w:r>
        <w:rPr>
          <w:rFonts w:ascii="Arial" w:hAnsi="Arial" w:cs="Arial"/>
          <w:szCs w:val="18"/>
        </w:rPr>
        <w:t xml:space="preserve">Le détail des </w:t>
      </w:r>
      <w:r w:rsidR="005C6404" w:rsidRPr="00E76AF3">
        <w:rPr>
          <w:rFonts w:ascii="Arial" w:hAnsi="Arial" w:cs="Arial"/>
          <w:szCs w:val="18"/>
        </w:rPr>
        <w:t xml:space="preserve">SUP d’effets </w:t>
      </w:r>
      <w:r w:rsidR="005C6404" w:rsidRPr="00E76AF3">
        <w:rPr>
          <w:rFonts w:ascii="Arial" w:hAnsi="Arial" w:cs="Arial"/>
          <w:color w:val="000000" w:themeColor="text2"/>
          <w:szCs w:val="18"/>
        </w:rPr>
        <w:t>pour la maîtrise de l’urbanisation d</w:t>
      </w:r>
      <w:r w:rsidR="00521679" w:rsidRPr="00E76AF3">
        <w:rPr>
          <w:rFonts w:ascii="Arial" w:hAnsi="Arial" w:cs="Arial"/>
          <w:color w:val="000000" w:themeColor="text2"/>
          <w:szCs w:val="18"/>
        </w:rPr>
        <w:t>oivent</w:t>
      </w:r>
      <w:r w:rsidR="005C6404" w:rsidRPr="00E76AF3">
        <w:rPr>
          <w:rFonts w:ascii="Arial" w:hAnsi="Arial" w:cs="Arial"/>
          <w:color w:val="000000" w:themeColor="text2"/>
          <w:szCs w:val="18"/>
        </w:rPr>
        <w:t xml:space="preserve"> être ajoutées sur la liste des </w:t>
      </w:r>
      <w:r w:rsidR="005C6404" w:rsidRPr="00E76AF3">
        <w:rPr>
          <w:rFonts w:ascii="Arial" w:hAnsi="Arial" w:cs="Arial"/>
          <w:szCs w:val="18"/>
        </w:rPr>
        <w:t>SUP en plus de la S</w:t>
      </w:r>
      <w:r w:rsidR="00521679" w:rsidRPr="00E76AF3">
        <w:rPr>
          <w:rFonts w:ascii="Arial" w:hAnsi="Arial" w:cs="Arial"/>
          <w:szCs w:val="18"/>
        </w:rPr>
        <w:t xml:space="preserve">UP d’implantation et de passage pour tenir compte </w:t>
      </w:r>
      <w:r w:rsidR="00835A6D" w:rsidRPr="00E76AF3">
        <w:rPr>
          <w:rFonts w:ascii="Arial" w:hAnsi="Arial" w:cs="Arial"/>
          <w:szCs w:val="18"/>
        </w:rPr>
        <w:t>du ou des arrêtés préfectoraux</w:t>
      </w:r>
      <w:r>
        <w:rPr>
          <w:rFonts w:ascii="Arial" w:hAnsi="Arial" w:cs="Arial"/>
          <w:szCs w:val="18"/>
        </w:rPr>
        <w:t xml:space="preserve"> instituant les servitudes d’utilité publique </w:t>
      </w:r>
      <w:r w:rsidR="00DE622F">
        <w:rPr>
          <w:rFonts w:ascii="Arial" w:hAnsi="Arial" w:cs="Arial"/>
          <w:szCs w:val="18"/>
        </w:rPr>
        <w:t>prenant en compte la maîtrise des risques autour des canalisations de transport de gaz naturel ou assimilé, d’hydrocarbures et de produits chimiques</w:t>
      </w:r>
      <w:r w:rsidR="00835A6D" w:rsidRPr="00E76AF3">
        <w:rPr>
          <w:rFonts w:ascii="Arial" w:hAnsi="Arial" w:cs="Arial"/>
          <w:szCs w:val="18"/>
        </w:rPr>
        <w:t>.</w:t>
      </w:r>
    </w:p>
    <w:p w14:paraId="2A7B8AE0" w14:textId="77777777" w:rsidR="005C6404" w:rsidRPr="00E76AF3" w:rsidRDefault="005C6404" w:rsidP="00835A6D">
      <w:pPr>
        <w:spacing w:line="240" w:lineRule="exact"/>
        <w:ind w:left="-142"/>
        <w:jc w:val="both"/>
        <w:rPr>
          <w:rFonts w:ascii="Arial" w:hAnsi="Arial" w:cs="Arial"/>
          <w:sz w:val="18"/>
          <w:szCs w:val="18"/>
        </w:rPr>
      </w:pPr>
    </w:p>
    <w:p w14:paraId="608B7C5A" w14:textId="77777777" w:rsidR="005C6404" w:rsidRPr="00E76AF3" w:rsidRDefault="005C6404" w:rsidP="00835A6D">
      <w:pPr>
        <w:spacing w:line="240" w:lineRule="exact"/>
        <w:ind w:left="-142"/>
        <w:jc w:val="both"/>
        <w:rPr>
          <w:rFonts w:ascii="Arial" w:hAnsi="Arial" w:cs="Arial"/>
          <w:sz w:val="18"/>
          <w:szCs w:val="18"/>
        </w:rPr>
      </w:pPr>
      <w:r w:rsidRPr="00E76AF3">
        <w:rPr>
          <w:rFonts w:ascii="Arial" w:hAnsi="Arial" w:cs="Arial"/>
          <w:sz w:val="18"/>
          <w:szCs w:val="18"/>
        </w:rPr>
        <w:t>Prendre en compte l’adresse suivante pour le service responsable des servitudes et des travaux :</w:t>
      </w:r>
    </w:p>
    <w:p w14:paraId="622E85C0" w14:textId="77777777" w:rsidR="005C6404" w:rsidRPr="00E76AF3" w:rsidRDefault="005C6404" w:rsidP="00835A6D">
      <w:pPr>
        <w:spacing w:line="240" w:lineRule="exact"/>
        <w:ind w:left="-284"/>
        <w:rPr>
          <w:rFonts w:ascii="Arial" w:hAnsi="Arial" w:cs="Arial"/>
          <w:sz w:val="18"/>
          <w:szCs w:val="18"/>
          <w:highlight w:val="yellow"/>
        </w:rPr>
      </w:pPr>
    </w:p>
    <w:p w14:paraId="59EA8D9A" w14:textId="77777777" w:rsidR="000E0229" w:rsidRPr="009E4014" w:rsidRDefault="000E0229" w:rsidP="000E0229">
      <w:pPr>
        <w:pBdr>
          <w:top w:val="single" w:sz="4" w:space="1" w:color="auto"/>
          <w:left w:val="single" w:sz="4" w:space="4" w:color="auto"/>
          <w:bottom w:val="single" w:sz="4" w:space="1" w:color="auto"/>
          <w:right w:val="single" w:sz="4" w:space="4" w:color="auto"/>
        </w:pBdr>
        <w:spacing w:before="20" w:after="20" w:line="240" w:lineRule="auto"/>
        <w:ind w:left="-284"/>
        <w:jc w:val="center"/>
        <w:rPr>
          <w:rFonts w:ascii="Arial" w:hAnsi="Arial" w:cs="Arial"/>
          <w:sz w:val="18"/>
          <w:szCs w:val="18"/>
        </w:rPr>
      </w:pPr>
      <w:r w:rsidRPr="009E4014">
        <w:rPr>
          <w:rFonts w:ascii="Arial" w:hAnsi="Arial" w:cs="Arial"/>
          <w:sz w:val="18"/>
          <w:szCs w:val="18"/>
        </w:rPr>
        <w:t>GRTgaz</w:t>
      </w:r>
    </w:p>
    <w:p w14:paraId="164728E3" w14:textId="77777777" w:rsidR="000E0229" w:rsidRPr="009E4014" w:rsidRDefault="000E0229" w:rsidP="000E0229">
      <w:pPr>
        <w:pBdr>
          <w:top w:val="single" w:sz="4" w:space="1" w:color="auto"/>
          <w:left w:val="single" w:sz="4" w:space="4" w:color="auto"/>
          <w:bottom w:val="single" w:sz="4" w:space="1" w:color="auto"/>
          <w:right w:val="single" w:sz="4" w:space="4" w:color="auto"/>
        </w:pBdr>
        <w:spacing w:before="20" w:after="20" w:line="240" w:lineRule="auto"/>
        <w:ind w:left="-284"/>
        <w:jc w:val="center"/>
        <w:rPr>
          <w:rFonts w:ascii="Arial" w:hAnsi="Arial" w:cs="Arial"/>
          <w:sz w:val="18"/>
          <w:szCs w:val="18"/>
        </w:rPr>
      </w:pPr>
      <w:r w:rsidRPr="009E4014">
        <w:rPr>
          <w:rFonts w:ascii="Arial" w:hAnsi="Arial" w:cs="Arial"/>
          <w:sz w:val="18"/>
          <w:szCs w:val="18"/>
        </w:rPr>
        <w:t>Pôle Exploitation Nord Est</w:t>
      </w:r>
    </w:p>
    <w:p w14:paraId="42F83B12" w14:textId="77777777" w:rsidR="000E0229" w:rsidRPr="009E4014" w:rsidRDefault="000E0229" w:rsidP="000E0229">
      <w:pPr>
        <w:pBdr>
          <w:top w:val="single" w:sz="4" w:space="1" w:color="auto"/>
          <w:left w:val="single" w:sz="4" w:space="4" w:color="auto"/>
          <w:bottom w:val="single" w:sz="4" w:space="1" w:color="auto"/>
          <w:right w:val="single" w:sz="4" w:space="4" w:color="auto"/>
        </w:pBdr>
        <w:spacing w:before="20" w:after="20" w:line="240" w:lineRule="auto"/>
        <w:ind w:left="-284"/>
        <w:jc w:val="center"/>
        <w:rPr>
          <w:rFonts w:ascii="Arial" w:hAnsi="Arial" w:cs="Arial"/>
          <w:sz w:val="18"/>
          <w:szCs w:val="18"/>
        </w:rPr>
      </w:pPr>
      <w:r w:rsidRPr="009E4014">
        <w:rPr>
          <w:rFonts w:ascii="Arial" w:hAnsi="Arial" w:cs="Arial"/>
          <w:sz w:val="18"/>
          <w:szCs w:val="18"/>
        </w:rPr>
        <w:t>Département Maintenance Données et Travaux Tiers</w:t>
      </w:r>
      <w:r w:rsidRPr="009E4014">
        <w:rPr>
          <w:rFonts w:ascii="Arial" w:hAnsi="Arial" w:cs="Arial"/>
          <w:sz w:val="18"/>
          <w:szCs w:val="18"/>
        </w:rPr>
        <w:br/>
        <w:t>Centre Travaux Tiers et Urbanisme</w:t>
      </w:r>
    </w:p>
    <w:p w14:paraId="47FEFAA1" w14:textId="77777777" w:rsidR="000E0229" w:rsidRPr="009E4014" w:rsidRDefault="000E0229" w:rsidP="000E0229">
      <w:pPr>
        <w:pBdr>
          <w:top w:val="single" w:sz="4" w:space="1" w:color="auto"/>
          <w:left w:val="single" w:sz="4" w:space="4" w:color="auto"/>
          <w:bottom w:val="single" w:sz="4" w:space="1" w:color="auto"/>
          <w:right w:val="single" w:sz="4" w:space="4" w:color="auto"/>
        </w:pBdr>
        <w:spacing w:before="20" w:after="20" w:line="240" w:lineRule="auto"/>
        <w:ind w:left="-284"/>
        <w:jc w:val="center"/>
        <w:rPr>
          <w:rFonts w:ascii="Arial" w:hAnsi="Arial" w:cs="Arial"/>
          <w:sz w:val="18"/>
          <w:szCs w:val="18"/>
        </w:rPr>
      </w:pPr>
      <w:r w:rsidRPr="009E4014">
        <w:rPr>
          <w:rFonts w:ascii="Arial" w:hAnsi="Arial" w:cs="Arial"/>
          <w:sz w:val="18"/>
          <w:szCs w:val="18"/>
        </w:rPr>
        <w:t>Boulevard de la République</w:t>
      </w:r>
    </w:p>
    <w:p w14:paraId="1BE1CB35" w14:textId="77777777" w:rsidR="000E0229" w:rsidRPr="009E4014" w:rsidRDefault="000E0229" w:rsidP="000E0229">
      <w:pPr>
        <w:pBdr>
          <w:top w:val="single" w:sz="4" w:space="1" w:color="auto"/>
          <w:left w:val="single" w:sz="4" w:space="4" w:color="auto"/>
          <w:bottom w:val="single" w:sz="4" w:space="1" w:color="auto"/>
          <w:right w:val="single" w:sz="4" w:space="4" w:color="auto"/>
        </w:pBdr>
        <w:spacing w:before="20" w:after="20" w:line="240" w:lineRule="auto"/>
        <w:ind w:left="-284"/>
        <w:jc w:val="center"/>
        <w:rPr>
          <w:rFonts w:ascii="Arial" w:hAnsi="Arial" w:cs="Arial"/>
          <w:sz w:val="18"/>
          <w:szCs w:val="18"/>
        </w:rPr>
      </w:pPr>
      <w:r w:rsidRPr="009E4014">
        <w:rPr>
          <w:rFonts w:ascii="Arial" w:hAnsi="Arial" w:cs="Arial"/>
          <w:sz w:val="18"/>
          <w:szCs w:val="18"/>
        </w:rPr>
        <w:t>BP 34</w:t>
      </w:r>
    </w:p>
    <w:p w14:paraId="403D6621" w14:textId="77777777" w:rsidR="000E0229" w:rsidRPr="009E4014" w:rsidRDefault="000E0229" w:rsidP="000E0229">
      <w:pPr>
        <w:pBdr>
          <w:top w:val="single" w:sz="4" w:space="1" w:color="auto"/>
          <w:left w:val="single" w:sz="4" w:space="4" w:color="auto"/>
          <w:bottom w:val="single" w:sz="4" w:space="1" w:color="auto"/>
          <w:right w:val="single" w:sz="4" w:space="4" w:color="auto"/>
        </w:pBdr>
        <w:spacing w:before="20" w:after="20" w:line="240" w:lineRule="auto"/>
        <w:ind w:left="-284"/>
        <w:jc w:val="center"/>
        <w:rPr>
          <w:rFonts w:ascii="Arial" w:hAnsi="Arial" w:cs="Arial"/>
          <w:sz w:val="18"/>
          <w:szCs w:val="18"/>
        </w:rPr>
      </w:pPr>
      <w:r w:rsidRPr="009E4014">
        <w:rPr>
          <w:rFonts w:ascii="Arial" w:hAnsi="Arial" w:cs="Arial"/>
          <w:sz w:val="18"/>
          <w:szCs w:val="18"/>
        </w:rPr>
        <w:t>62232 Annezin</w:t>
      </w:r>
    </w:p>
    <w:p w14:paraId="0E83CA78" w14:textId="77777777" w:rsidR="000E0229" w:rsidRPr="009E4014" w:rsidRDefault="000E0229" w:rsidP="000E0229">
      <w:pPr>
        <w:pBdr>
          <w:top w:val="single" w:sz="4" w:space="1" w:color="auto"/>
          <w:left w:val="single" w:sz="4" w:space="4" w:color="auto"/>
          <w:bottom w:val="single" w:sz="4" w:space="1" w:color="auto"/>
          <w:right w:val="single" w:sz="4" w:space="4" w:color="auto"/>
        </w:pBdr>
        <w:spacing w:before="20" w:after="20" w:line="240" w:lineRule="auto"/>
        <w:ind w:left="-284"/>
        <w:jc w:val="center"/>
        <w:rPr>
          <w:rFonts w:ascii="Arial" w:hAnsi="Arial" w:cs="Arial"/>
          <w:sz w:val="18"/>
          <w:szCs w:val="18"/>
        </w:rPr>
      </w:pPr>
      <w:r w:rsidRPr="009E4014">
        <w:rPr>
          <w:rFonts w:ascii="Arial" w:hAnsi="Arial" w:cs="Arial"/>
          <w:sz w:val="18"/>
          <w:szCs w:val="18"/>
        </w:rPr>
        <w:t>Téléphone : 03.21.64.79.29</w:t>
      </w:r>
    </w:p>
    <w:p w14:paraId="70FB2632" w14:textId="77777777" w:rsidR="000E0229" w:rsidRDefault="000E0229" w:rsidP="000E0229">
      <w:pPr>
        <w:tabs>
          <w:tab w:val="clear" w:pos="1276"/>
          <w:tab w:val="clear" w:pos="5245"/>
        </w:tabs>
        <w:spacing w:after="120" w:line="240" w:lineRule="exact"/>
        <w:jc w:val="both"/>
        <w:rPr>
          <w:rFonts w:eastAsia="Times New Roman" w:cstheme="minorHAnsi"/>
          <w:sz w:val="18"/>
          <w:szCs w:val="18"/>
        </w:rPr>
      </w:pPr>
    </w:p>
    <w:p w14:paraId="74075F93" w14:textId="77777777" w:rsidR="000E0229" w:rsidRPr="00E76AF3" w:rsidRDefault="000E0229" w:rsidP="00D25CB7">
      <w:pPr>
        <w:pStyle w:val="Paragraphedeliste"/>
        <w:spacing w:line="240" w:lineRule="exact"/>
        <w:ind w:left="0"/>
        <w:jc w:val="center"/>
        <w:rPr>
          <w:rFonts w:ascii="Arial" w:hAnsi="Arial" w:cs="Arial"/>
          <w:szCs w:val="18"/>
        </w:rPr>
      </w:pPr>
    </w:p>
    <w:sectPr w:rsidR="000E0229" w:rsidRPr="00E76AF3" w:rsidSect="00810341">
      <w:headerReference w:type="default" r:id="rId11"/>
      <w:footerReference w:type="default" r:id="rId12"/>
      <w:pgSz w:w="11900" w:h="16840"/>
      <w:pgMar w:top="1702" w:right="1268" w:bottom="1134" w:left="192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D4F1F" w14:textId="77777777" w:rsidR="00A5572C" w:rsidRDefault="00A5572C" w:rsidP="0044114B">
      <w:r>
        <w:separator/>
      </w:r>
    </w:p>
  </w:endnote>
  <w:endnote w:type="continuationSeparator" w:id="0">
    <w:p w14:paraId="0B262BC8" w14:textId="77777777" w:rsidR="00A5572C" w:rsidRDefault="00A5572C" w:rsidP="00441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Roman">
    <w:altName w:val="Lucida Sans Unicode"/>
    <w:panose1 w:val="020B06000305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Bold">
    <w:panose1 w:val="020B0800030504020204"/>
    <w:charset w:val="00"/>
    <w:family w:val="swiss"/>
    <w:pitch w:val="variable"/>
    <w:sig w:usb0="80000027"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5A7E9" w14:textId="77777777" w:rsidR="000E0229" w:rsidRDefault="000E0229" w:rsidP="000E0229">
    <w:pPr>
      <w:pStyle w:val="Pieddepage"/>
    </w:pPr>
    <w:r>
      <w:rPr>
        <w:noProof/>
      </w:rPr>
      <w:drawing>
        <wp:anchor distT="0" distB="0" distL="114300" distR="114300" simplePos="0" relativeHeight="251663360" behindDoc="1" locked="0" layoutInCell="1" allowOverlap="1" wp14:anchorId="7F50A164" wp14:editId="534C6466">
          <wp:simplePos x="0" y="0"/>
          <wp:positionH relativeFrom="column">
            <wp:posOffset>-1215390</wp:posOffset>
          </wp:positionH>
          <wp:positionV relativeFrom="page">
            <wp:posOffset>8719185</wp:posOffset>
          </wp:positionV>
          <wp:extent cx="7541895" cy="1964690"/>
          <wp:effectExtent l="0" t="0" r="190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R:Users:raoulsinier:Desktop:2.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1895" cy="1964690"/>
                  </a:xfrm>
                  <a:prstGeom prst="rect">
                    <a:avLst/>
                  </a:prstGeom>
                  <a:noFill/>
                  <a:ln>
                    <a:noFill/>
                  </a:ln>
                </pic:spPr>
              </pic:pic>
            </a:graphicData>
          </a:graphic>
        </wp:anchor>
      </w:drawing>
    </w:r>
    <w:r>
      <w:t>SA au capital de 618 592 590 euros</w:t>
    </w:r>
  </w:p>
  <w:p w14:paraId="797777B9" w14:textId="77777777" w:rsidR="000E0229" w:rsidRDefault="000E0229" w:rsidP="000E0229">
    <w:pPr>
      <w:pStyle w:val="Pieddepage"/>
    </w:pPr>
    <w:r>
      <w:t>RCS Nanterre 440 117 620</w:t>
    </w:r>
    <w:r>
      <w:rPr>
        <w:noProof/>
      </w:rPr>
      <w:drawing>
        <wp:anchor distT="0" distB="0" distL="114300" distR="114300" simplePos="0" relativeHeight="251664384" behindDoc="1" locked="0" layoutInCell="1" allowOverlap="1" wp14:anchorId="34B48CA0" wp14:editId="0D839B5D">
          <wp:simplePos x="0" y="0"/>
          <wp:positionH relativeFrom="column">
            <wp:posOffset>-1215390</wp:posOffset>
          </wp:positionH>
          <wp:positionV relativeFrom="page">
            <wp:posOffset>8728710</wp:posOffset>
          </wp:positionV>
          <wp:extent cx="7542463" cy="1964690"/>
          <wp:effectExtent l="0" t="0" r="1905" b="0"/>
          <wp:wrapNone/>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R:Users:raoulsinier:Desktop:2.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2463" cy="1964690"/>
                  </a:xfrm>
                  <a:prstGeom prst="rect">
                    <a:avLst/>
                  </a:prstGeom>
                  <a:noFill/>
                  <a:ln>
                    <a:noFill/>
                  </a:ln>
                </pic:spPr>
              </pic:pic>
            </a:graphicData>
          </a:graphic>
        </wp:anchor>
      </w:drawing>
    </w:r>
  </w:p>
  <w:p w14:paraId="7738EB7D" w14:textId="77777777" w:rsidR="000E0229" w:rsidRDefault="000E0229" w:rsidP="000E0229">
    <w:pPr>
      <w:pStyle w:val="Pieddepage"/>
      <w:framePr w:w="1452" w:wrap="around" w:vAnchor="page" w:hAnchor="page" w:x="9374" w:y="15582" w:anchorLock="1"/>
      <w:rPr>
        <w:rStyle w:val="Numrodepage"/>
      </w:rPr>
    </w:pPr>
  </w:p>
  <w:p w14:paraId="5DAF2134" w14:textId="77777777" w:rsidR="000E0229" w:rsidRDefault="000E0229" w:rsidP="000E0229">
    <w:pPr>
      <w:pStyle w:val="Pieddepage"/>
      <w:framePr w:w="1452" w:wrap="around" w:vAnchor="page" w:hAnchor="page" w:x="9374" w:y="15582" w:anchorLock="1"/>
      <w:jc w:val="right"/>
      <w:rPr>
        <w:rStyle w:val="Numrodepage"/>
      </w:rPr>
    </w:pPr>
    <w:r>
      <w:rPr>
        <w:rStyle w:val="Numrodepage"/>
      </w:rP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r>
      <w:rPr>
        <w:rStyle w:val="Numrodepage"/>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w:t>
    </w:r>
    <w:r>
      <w:rPr>
        <w:rStyle w:val="Numrodepage"/>
      </w:rPr>
      <w:fldChar w:fldCharType="end"/>
    </w:r>
  </w:p>
  <w:p w14:paraId="39E75CFB" w14:textId="7C43FFA8" w:rsidR="00985DAF" w:rsidRPr="00083488" w:rsidRDefault="00985DAF" w:rsidP="00083488">
    <w:pPr>
      <w:pStyle w:val="Pieddepage"/>
    </w:pPr>
    <w:r>
      <w:rPr>
        <w:noProof/>
      </w:rPr>
      <w:drawing>
        <wp:anchor distT="0" distB="0" distL="114300" distR="114300" simplePos="0" relativeHeight="251661312" behindDoc="1" locked="0" layoutInCell="1" allowOverlap="1" wp14:anchorId="57B3D301" wp14:editId="28B2BAAF">
          <wp:simplePos x="0" y="0"/>
          <wp:positionH relativeFrom="column">
            <wp:posOffset>0</wp:posOffset>
          </wp:positionH>
          <wp:positionV relativeFrom="page">
            <wp:posOffset>10104120</wp:posOffset>
          </wp:positionV>
          <wp:extent cx="7541895" cy="1964690"/>
          <wp:effectExtent l="0" t="0" r="1905"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R:Users:raoulsinier:Desktop:2.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1895" cy="1964690"/>
                  </a:xfrm>
                  <a:prstGeom prst="rect">
                    <a:avLst/>
                  </a:prstGeom>
                  <a:noFill/>
                  <a:ln>
                    <a:noFill/>
                  </a:ln>
                </pic:spPr>
              </pic:pic>
            </a:graphicData>
          </a:graphic>
        </wp:anchor>
      </w:drawing>
    </w:r>
    <w:r>
      <w:rPr>
        <w:noProof/>
      </w:rPr>
      <w:drawing>
        <wp:anchor distT="0" distB="0" distL="114300" distR="114300" simplePos="0" relativeHeight="251576832" behindDoc="1" locked="0" layoutInCell="1" allowOverlap="1" wp14:anchorId="39E75CFE" wp14:editId="39E75CFF">
          <wp:simplePos x="0" y="0"/>
          <wp:positionH relativeFrom="column">
            <wp:posOffset>-1215390</wp:posOffset>
          </wp:positionH>
          <wp:positionV relativeFrom="page">
            <wp:posOffset>8700135</wp:posOffset>
          </wp:positionV>
          <wp:extent cx="7541895" cy="1964690"/>
          <wp:effectExtent l="0" t="0" r="1905"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R:Users:raoulsinier:Desktop:2.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1895" cy="196469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0852D" w14:textId="77777777" w:rsidR="00A5572C" w:rsidRDefault="00A5572C" w:rsidP="0044114B">
      <w:r>
        <w:separator/>
      </w:r>
    </w:p>
  </w:footnote>
  <w:footnote w:type="continuationSeparator" w:id="0">
    <w:p w14:paraId="24FCB793" w14:textId="77777777" w:rsidR="00A5572C" w:rsidRDefault="00A5572C" w:rsidP="004411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75CF9" w14:textId="77777777" w:rsidR="00985DAF" w:rsidRDefault="00985DAF" w:rsidP="0044114B">
    <w:pPr>
      <w:pStyle w:val="En-tte"/>
    </w:pPr>
    <w:r>
      <w:rPr>
        <w:noProof/>
      </w:rPr>
      <w:drawing>
        <wp:anchor distT="0" distB="0" distL="114300" distR="114300" simplePos="0" relativeHeight="251575808" behindDoc="1" locked="0" layoutInCell="1" allowOverlap="1" wp14:anchorId="39E75CFC" wp14:editId="39E75CFD">
          <wp:simplePos x="0" y="0"/>
          <wp:positionH relativeFrom="column">
            <wp:posOffset>-1225550</wp:posOffset>
          </wp:positionH>
          <wp:positionV relativeFrom="page">
            <wp:posOffset>0</wp:posOffset>
          </wp:positionV>
          <wp:extent cx="7560310" cy="1048688"/>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Description : R:Users:raoulsinier:Desktop: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10" cy="1048688"/>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05954"/>
    <w:multiLevelType w:val="hybridMultilevel"/>
    <w:tmpl w:val="5E4E709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7A617D"/>
    <w:multiLevelType w:val="hybridMultilevel"/>
    <w:tmpl w:val="86CA6BB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E5A4079"/>
    <w:multiLevelType w:val="hybridMultilevel"/>
    <w:tmpl w:val="20FCE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EF6FBA"/>
    <w:multiLevelType w:val="hybridMultilevel"/>
    <w:tmpl w:val="E33E63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8C5AA0"/>
    <w:multiLevelType w:val="hybridMultilevel"/>
    <w:tmpl w:val="7AC8BB5A"/>
    <w:lvl w:ilvl="0" w:tplc="B14C2204">
      <w:start w:val="1"/>
      <w:numFmt w:val="bullet"/>
      <w:lvlText w:val=""/>
      <w:lvlJc w:val="left"/>
      <w:pPr>
        <w:tabs>
          <w:tab w:val="num" w:pos="757"/>
        </w:tabs>
        <w:ind w:left="757" w:hanging="360"/>
      </w:pPr>
      <w:rPr>
        <w:rFonts w:ascii="Wingdings" w:hAnsi="Wingdings" w:hint="default"/>
      </w:rPr>
    </w:lvl>
    <w:lvl w:ilvl="1" w:tplc="7DD60BDC" w:tentative="1">
      <w:start w:val="1"/>
      <w:numFmt w:val="bullet"/>
      <w:lvlText w:val="o"/>
      <w:lvlJc w:val="left"/>
      <w:pPr>
        <w:tabs>
          <w:tab w:val="num" w:pos="1270"/>
        </w:tabs>
        <w:ind w:left="1270" w:hanging="360"/>
      </w:pPr>
      <w:rPr>
        <w:rFonts w:ascii="Courier New" w:hAnsi="Courier New" w:hint="default"/>
      </w:rPr>
    </w:lvl>
    <w:lvl w:ilvl="2" w:tplc="5F1C2F9A" w:tentative="1">
      <w:start w:val="1"/>
      <w:numFmt w:val="bullet"/>
      <w:lvlText w:val=""/>
      <w:lvlJc w:val="left"/>
      <w:pPr>
        <w:tabs>
          <w:tab w:val="num" w:pos="1990"/>
        </w:tabs>
        <w:ind w:left="1990" w:hanging="360"/>
      </w:pPr>
      <w:rPr>
        <w:rFonts w:ascii="Wingdings" w:hAnsi="Wingdings" w:hint="default"/>
      </w:rPr>
    </w:lvl>
    <w:lvl w:ilvl="3" w:tplc="8AAC6DB6" w:tentative="1">
      <w:start w:val="1"/>
      <w:numFmt w:val="bullet"/>
      <w:lvlText w:val=""/>
      <w:lvlJc w:val="left"/>
      <w:pPr>
        <w:tabs>
          <w:tab w:val="num" w:pos="2710"/>
        </w:tabs>
        <w:ind w:left="2710" w:hanging="360"/>
      </w:pPr>
      <w:rPr>
        <w:rFonts w:ascii="Symbol" w:hAnsi="Symbol" w:hint="default"/>
      </w:rPr>
    </w:lvl>
    <w:lvl w:ilvl="4" w:tplc="46B8533C" w:tentative="1">
      <w:start w:val="1"/>
      <w:numFmt w:val="bullet"/>
      <w:lvlText w:val="o"/>
      <w:lvlJc w:val="left"/>
      <w:pPr>
        <w:tabs>
          <w:tab w:val="num" w:pos="3430"/>
        </w:tabs>
        <w:ind w:left="3430" w:hanging="360"/>
      </w:pPr>
      <w:rPr>
        <w:rFonts w:ascii="Courier New" w:hAnsi="Courier New" w:hint="default"/>
      </w:rPr>
    </w:lvl>
    <w:lvl w:ilvl="5" w:tplc="7D0C9302" w:tentative="1">
      <w:start w:val="1"/>
      <w:numFmt w:val="bullet"/>
      <w:lvlText w:val=""/>
      <w:lvlJc w:val="left"/>
      <w:pPr>
        <w:tabs>
          <w:tab w:val="num" w:pos="4150"/>
        </w:tabs>
        <w:ind w:left="4150" w:hanging="360"/>
      </w:pPr>
      <w:rPr>
        <w:rFonts w:ascii="Wingdings" w:hAnsi="Wingdings" w:hint="default"/>
      </w:rPr>
    </w:lvl>
    <w:lvl w:ilvl="6" w:tplc="5EA2029C" w:tentative="1">
      <w:start w:val="1"/>
      <w:numFmt w:val="bullet"/>
      <w:lvlText w:val=""/>
      <w:lvlJc w:val="left"/>
      <w:pPr>
        <w:tabs>
          <w:tab w:val="num" w:pos="4870"/>
        </w:tabs>
        <w:ind w:left="4870" w:hanging="360"/>
      </w:pPr>
      <w:rPr>
        <w:rFonts w:ascii="Symbol" w:hAnsi="Symbol" w:hint="default"/>
      </w:rPr>
    </w:lvl>
    <w:lvl w:ilvl="7" w:tplc="9BF455CC" w:tentative="1">
      <w:start w:val="1"/>
      <w:numFmt w:val="bullet"/>
      <w:lvlText w:val="o"/>
      <w:lvlJc w:val="left"/>
      <w:pPr>
        <w:tabs>
          <w:tab w:val="num" w:pos="5590"/>
        </w:tabs>
        <w:ind w:left="5590" w:hanging="360"/>
      </w:pPr>
      <w:rPr>
        <w:rFonts w:ascii="Courier New" w:hAnsi="Courier New" w:hint="default"/>
      </w:rPr>
    </w:lvl>
    <w:lvl w:ilvl="8" w:tplc="D2F0C68E" w:tentative="1">
      <w:start w:val="1"/>
      <w:numFmt w:val="bullet"/>
      <w:lvlText w:val=""/>
      <w:lvlJc w:val="left"/>
      <w:pPr>
        <w:tabs>
          <w:tab w:val="num" w:pos="6310"/>
        </w:tabs>
        <w:ind w:left="6310" w:hanging="360"/>
      </w:pPr>
      <w:rPr>
        <w:rFonts w:ascii="Wingdings" w:hAnsi="Wingdings" w:hint="default"/>
      </w:rPr>
    </w:lvl>
  </w:abstractNum>
  <w:abstractNum w:abstractNumId="5" w15:restartNumberingAfterBreak="0">
    <w:nsid w:val="190A557D"/>
    <w:multiLevelType w:val="hybridMultilevel"/>
    <w:tmpl w:val="C492D1A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B4E43FE"/>
    <w:multiLevelType w:val="hybridMultilevel"/>
    <w:tmpl w:val="79E0017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1CDB3AE0"/>
    <w:multiLevelType w:val="hybridMultilevel"/>
    <w:tmpl w:val="8E0A824E"/>
    <w:lvl w:ilvl="0" w:tplc="69487016">
      <w:numFmt w:val="bullet"/>
      <w:lvlText w:val="-"/>
      <w:lvlJc w:val="left"/>
      <w:pPr>
        <w:ind w:left="1069" w:hanging="360"/>
      </w:pPr>
      <w:rPr>
        <w:rFonts w:ascii="Frutiger Roman" w:eastAsia="Times New Roman" w:hAnsi="Frutiger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FCD35A9"/>
    <w:multiLevelType w:val="hybridMultilevel"/>
    <w:tmpl w:val="574C5E0C"/>
    <w:lvl w:ilvl="0" w:tplc="AFACF9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F91563"/>
    <w:multiLevelType w:val="hybridMultilevel"/>
    <w:tmpl w:val="574C7982"/>
    <w:lvl w:ilvl="0" w:tplc="AC00EE7A">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0" w15:restartNumberingAfterBreak="0">
    <w:nsid w:val="253510DA"/>
    <w:multiLevelType w:val="hybridMultilevel"/>
    <w:tmpl w:val="6156A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541393"/>
    <w:multiLevelType w:val="hybridMultilevel"/>
    <w:tmpl w:val="574C5E0C"/>
    <w:lvl w:ilvl="0" w:tplc="AFACF9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CF20DC"/>
    <w:multiLevelType w:val="hybridMultilevel"/>
    <w:tmpl w:val="317606C8"/>
    <w:lvl w:ilvl="0" w:tplc="49C8F7D6">
      <w:start w:val="1"/>
      <w:numFmt w:val="bullet"/>
      <w:lvlText w:val=""/>
      <w:lvlJc w:val="left"/>
      <w:pPr>
        <w:tabs>
          <w:tab w:val="num" w:pos="720"/>
        </w:tabs>
        <w:ind w:left="720" w:hanging="360"/>
      </w:pPr>
      <w:rPr>
        <w:rFonts w:ascii="Wingdings" w:hAnsi="Wingdings" w:hint="default"/>
        <w:sz w:val="12"/>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374095"/>
    <w:multiLevelType w:val="hybridMultilevel"/>
    <w:tmpl w:val="63D42DA8"/>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34CC2540"/>
    <w:multiLevelType w:val="multilevel"/>
    <w:tmpl w:val="918E8B2C"/>
    <w:styleLink w:val="List7"/>
    <w:lvl w:ilvl="0">
      <w:start w:val="1"/>
      <w:numFmt w:val="decimal"/>
      <w:lvlText w:val="%1."/>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15" w15:restartNumberingAfterBreak="0">
    <w:nsid w:val="3BDC1C35"/>
    <w:multiLevelType w:val="hybridMultilevel"/>
    <w:tmpl w:val="9356D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104BA2"/>
    <w:multiLevelType w:val="hybridMultilevel"/>
    <w:tmpl w:val="75B06128"/>
    <w:lvl w:ilvl="0" w:tplc="A3C2EBCE">
      <w:start w:val="1"/>
      <w:numFmt w:val="bullet"/>
      <w:lvlText w:val=""/>
      <w:lvlJc w:val="left"/>
      <w:pPr>
        <w:ind w:left="795" w:hanging="360"/>
      </w:pPr>
      <w:rPr>
        <w:rFonts w:ascii="Symbol" w:hAnsi="Symbol" w:hint="default"/>
      </w:rPr>
    </w:lvl>
    <w:lvl w:ilvl="1" w:tplc="066CB81E" w:tentative="1">
      <w:start w:val="1"/>
      <w:numFmt w:val="bullet"/>
      <w:lvlText w:val="o"/>
      <w:lvlJc w:val="left"/>
      <w:pPr>
        <w:ind w:left="1515" w:hanging="360"/>
      </w:pPr>
      <w:rPr>
        <w:rFonts w:ascii="Courier New" w:hAnsi="Courier New" w:cs="Courier New" w:hint="default"/>
      </w:rPr>
    </w:lvl>
    <w:lvl w:ilvl="2" w:tplc="D00268B6" w:tentative="1">
      <w:start w:val="1"/>
      <w:numFmt w:val="bullet"/>
      <w:lvlText w:val=""/>
      <w:lvlJc w:val="left"/>
      <w:pPr>
        <w:ind w:left="2235" w:hanging="360"/>
      </w:pPr>
      <w:rPr>
        <w:rFonts w:ascii="Wingdings" w:hAnsi="Wingdings" w:hint="default"/>
      </w:rPr>
    </w:lvl>
    <w:lvl w:ilvl="3" w:tplc="6D2CC324" w:tentative="1">
      <w:start w:val="1"/>
      <w:numFmt w:val="bullet"/>
      <w:lvlText w:val=""/>
      <w:lvlJc w:val="left"/>
      <w:pPr>
        <w:ind w:left="2955" w:hanging="360"/>
      </w:pPr>
      <w:rPr>
        <w:rFonts w:ascii="Symbol" w:hAnsi="Symbol" w:hint="default"/>
      </w:rPr>
    </w:lvl>
    <w:lvl w:ilvl="4" w:tplc="DBA0091A" w:tentative="1">
      <w:start w:val="1"/>
      <w:numFmt w:val="bullet"/>
      <w:lvlText w:val="o"/>
      <w:lvlJc w:val="left"/>
      <w:pPr>
        <w:ind w:left="3675" w:hanging="360"/>
      </w:pPr>
      <w:rPr>
        <w:rFonts w:ascii="Courier New" w:hAnsi="Courier New" w:cs="Courier New" w:hint="default"/>
      </w:rPr>
    </w:lvl>
    <w:lvl w:ilvl="5" w:tplc="8278A264" w:tentative="1">
      <w:start w:val="1"/>
      <w:numFmt w:val="bullet"/>
      <w:lvlText w:val=""/>
      <w:lvlJc w:val="left"/>
      <w:pPr>
        <w:ind w:left="4395" w:hanging="360"/>
      </w:pPr>
      <w:rPr>
        <w:rFonts w:ascii="Wingdings" w:hAnsi="Wingdings" w:hint="default"/>
      </w:rPr>
    </w:lvl>
    <w:lvl w:ilvl="6" w:tplc="61A436D6" w:tentative="1">
      <w:start w:val="1"/>
      <w:numFmt w:val="bullet"/>
      <w:lvlText w:val=""/>
      <w:lvlJc w:val="left"/>
      <w:pPr>
        <w:ind w:left="5115" w:hanging="360"/>
      </w:pPr>
      <w:rPr>
        <w:rFonts w:ascii="Symbol" w:hAnsi="Symbol" w:hint="default"/>
      </w:rPr>
    </w:lvl>
    <w:lvl w:ilvl="7" w:tplc="26F26D78" w:tentative="1">
      <w:start w:val="1"/>
      <w:numFmt w:val="bullet"/>
      <w:lvlText w:val="o"/>
      <w:lvlJc w:val="left"/>
      <w:pPr>
        <w:ind w:left="5835" w:hanging="360"/>
      </w:pPr>
      <w:rPr>
        <w:rFonts w:ascii="Courier New" w:hAnsi="Courier New" w:cs="Courier New" w:hint="default"/>
      </w:rPr>
    </w:lvl>
    <w:lvl w:ilvl="8" w:tplc="F4FC065C" w:tentative="1">
      <w:start w:val="1"/>
      <w:numFmt w:val="bullet"/>
      <w:lvlText w:val=""/>
      <w:lvlJc w:val="left"/>
      <w:pPr>
        <w:ind w:left="6555" w:hanging="360"/>
      </w:pPr>
      <w:rPr>
        <w:rFonts w:ascii="Wingdings" w:hAnsi="Wingdings" w:hint="default"/>
      </w:rPr>
    </w:lvl>
  </w:abstractNum>
  <w:abstractNum w:abstractNumId="17" w15:restartNumberingAfterBreak="0">
    <w:nsid w:val="3D9652F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CF45D4"/>
    <w:multiLevelType w:val="hybridMultilevel"/>
    <w:tmpl w:val="809A07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CA4BCF"/>
    <w:multiLevelType w:val="multilevel"/>
    <w:tmpl w:val="040C001F"/>
    <w:lvl w:ilvl="0">
      <w:start w:val="1"/>
      <w:numFmt w:val="decimal"/>
      <w:lvlText w:val="%1."/>
      <w:lvlJc w:val="left"/>
      <w:pPr>
        <w:tabs>
          <w:tab w:val="num" w:pos="1418"/>
        </w:tabs>
        <w:ind w:left="1418" w:hanging="360"/>
      </w:pPr>
    </w:lvl>
    <w:lvl w:ilvl="1">
      <w:start w:val="1"/>
      <w:numFmt w:val="decimal"/>
      <w:lvlText w:val="%1.%2."/>
      <w:lvlJc w:val="left"/>
      <w:pPr>
        <w:tabs>
          <w:tab w:val="num" w:pos="1850"/>
        </w:tabs>
        <w:ind w:left="1850" w:hanging="432"/>
      </w:pPr>
    </w:lvl>
    <w:lvl w:ilvl="2">
      <w:start w:val="1"/>
      <w:numFmt w:val="decimal"/>
      <w:lvlText w:val="%1.%2.%3."/>
      <w:lvlJc w:val="left"/>
      <w:pPr>
        <w:tabs>
          <w:tab w:val="num" w:pos="2498"/>
        </w:tabs>
        <w:ind w:left="2282" w:hanging="504"/>
      </w:pPr>
    </w:lvl>
    <w:lvl w:ilvl="3">
      <w:start w:val="1"/>
      <w:numFmt w:val="decimal"/>
      <w:lvlText w:val="%1.%2.%3.%4."/>
      <w:lvlJc w:val="left"/>
      <w:pPr>
        <w:tabs>
          <w:tab w:val="num" w:pos="2858"/>
        </w:tabs>
        <w:ind w:left="2786" w:hanging="648"/>
      </w:pPr>
    </w:lvl>
    <w:lvl w:ilvl="4">
      <w:start w:val="1"/>
      <w:numFmt w:val="decimal"/>
      <w:lvlText w:val="%1.%2.%3.%4.%5."/>
      <w:lvlJc w:val="left"/>
      <w:pPr>
        <w:tabs>
          <w:tab w:val="num" w:pos="3578"/>
        </w:tabs>
        <w:ind w:left="3290" w:hanging="792"/>
      </w:pPr>
    </w:lvl>
    <w:lvl w:ilvl="5">
      <w:start w:val="1"/>
      <w:numFmt w:val="decimal"/>
      <w:lvlText w:val="%1.%2.%3.%4.%5.%6."/>
      <w:lvlJc w:val="left"/>
      <w:pPr>
        <w:tabs>
          <w:tab w:val="num" w:pos="3938"/>
        </w:tabs>
        <w:ind w:left="3794" w:hanging="936"/>
      </w:pPr>
    </w:lvl>
    <w:lvl w:ilvl="6">
      <w:start w:val="1"/>
      <w:numFmt w:val="decimal"/>
      <w:lvlText w:val="%1.%2.%3.%4.%5.%6.%7."/>
      <w:lvlJc w:val="left"/>
      <w:pPr>
        <w:tabs>
          <w:tab w:val="num" w:pos="4658"/>
        </w:tabs>
        <w:ind w:left="4298" w:hanging="1080"/>
      </w:pPr>
    </w:lvl>
    <w:lvl w:ilvl="7">
      <w:start w:val="1"/>
      <w:numFmt w:val="decimal"/>
      <w:lvlText w:val="%1.%2.%3.%4.%5.%6.%7.%8."/>
      <w:lvlJc w:val="left"/>
      <w:pPr>
        <w:tabs>
          <w:tab w:val="num" w:pos="5018"/>
        </w:tabs>
        <w:ind w:left="4802" w:hanging="1224"/>
      </w:pPr>
    </w:lvl>
    <w:lvl w:ilvl="8">
      <w:start w:val="1"/>
      <w:numFmt w:val="decimal"/>
      <w:lvlText w:val="%1.%2.%3.%4.%5.%6.%7.%8.%9."/>
      <w:lvlJc w:val="left"/>
      <w:pPr>
        <w:tabs>
          <w:tab w:val="num" w:pos="5738"/>
        </w:tabs>
        <w:ind w:left="5378" w:hanging="1440"/>
      </w:pPr>
    </w:lvl>
  </w:abstractNum>
  <w:abstractNum w:abstractNumId="20" w15:restartNumberingAfterBreak="0">
    <w:nsid w:val="45FE54A9"/>
    <w:multiLevelType w:val="hybridMultilevel"/>
    <w:tmpl w:val="60121696"/>
    <w:lvl w:ilvl="0" w:tplc="5E58C1C2">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9E094F"/>
    <w:multiLevelType w:val="hybridMultilevel"/>
    <w:tmpl w:val="AA26EAD2"/>
    <w:lvl w:ilvl="0" w:tplc="165633A4">
      <w:start w:val="1"/>
      <w:numFmt w:val="decimal"/>
      <w:lvlText w:val="%1.1"/>
      <w:lvlJc w:val="left"/>
      <w:pPr>
        <w:ind w:left="108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BC34F6B"/>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CEE058F"/>
    <w:multiLevelType w:val="hybridMultilevel"/>
    <w:tmpl w:val="D3223C9E"/>
    <w:lvl w:ilvl="0" w:tplc="040C0019">
      <w:start w:val="1"/>
      <w:numFmt w:val="low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4" w15:restartNumberingAfterBreak="0">
    <w:nsid w:val="56DA236F"/>
    <w:multiLevelType w:val="hybridMultilevel"/>
    <w:tmpl w:val="3F8E7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7D4BAA"/>
    <w:multiLevelType w:val="hybridMultilevel"/>
    <w:tmpl w:val="658050BC"/>
    <w:lvl w:ilvl="0" w:tplc="040C0001">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E93855"/>
    <w:multiLevelType w:val="multilevel"/>
    <w:tmpl w:val="AD0064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23A1247"/>
    <w:multiLevelType w:val="hybridMultilevel"/>
    <w:tmpl w:val="9D069E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455928"/>
    <w:multiLevelType w:val="hybridMultilevel"/>
    <w:tmpl w:val="8056CC8E"/>
    <w:lvl w:ilvl="0" w:tplc="08924C9C">
      <w:numFmt w:val="bullet"/>
      <w:lvlText w:val="•"/>
      <w:lvlJc w:val="left"/>
      <w:pPr>
        <w:ind w:left="644" w:hanging="360"/>
      </w:pPr>
      <w:rPr>
        <w:rFonts w:ascii="Arial" w:eastAsiaTheme="minorEastAsia"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9" w15:restartNumberingAfterBreak="0">
    <w:nsid w:val="6572014F"/>
    <w:multiLevelType w:val="hybridMultilevel"/>
    <w:tmpl w:val="5A2C9E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A143FE"/>
    <w:multiLevelType w:val="hybridMultilevel"/>
    <w:tmpl w:val="88AA4252"/>
    <w:lvl w:ilvl="0" w:tplc="040C0001">
      <w:start w:val="1"/>
      <w:numFmt w:val="bullet"/>
      <w:lvlText w:val=""/>
      <w:lvlJc w:val="left"/>
      <w:pPr>
        <w:ind w:left="502" w:hanging="360"/>
      </w:pPr>
      <w:rPr>
        <w:rFonts w:ascii="Symbol" w:hAnsi="Symbol" w:hint="default"/>
      </w:rPr>
    </w:lvl>
    <w:lvl w:ilvl="1" w:tplc="040C0001">
      <w:start w:val="1"/>
      <w:numFmt w:val="bullet"/>
      <w:lvlText w:val=""/>
      <w:lvlJc w:val="left"/>
      <w:pPr>
        <w:ind w:left="1222" w:hanging="360"/>
      </w:pPr>
      <w:rPr>
        <w:rFonts w:ascii="Symbol" w:hAnsi="Symbol" w:hint="default"/>
      </w:rPr>
    </w:lvl>
    <w:lvl w:ilvl="2" w:tplc="040C0001">
      <w:start w:val="1"/>
      <w:numFmt w:val="bullet"/>
      <w:lvlText w:val=""/>
      <w:lvlJc w:val="left"/>
      <w:pPr>
        <w:ind w:left="1942" w:hanging="360"/>
      </w:pPr>
      <w:rPr>
        <w:rFonts w:ascii="Symbol" w:hAnsi="Symbol"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1" w15:restartNumberingAfterBreak="0">
    <w:nsid w:val="6C320BC3"/>
    <w:multiLevelType w:val="hybridMultilevel"/>
    <w:tmpl w:val="DDFEDFE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15:restartNumberingAfterBreak="0">
    <w:nsid w:val="72016429"/>
    <w:multiLevelType w:val="hybridMultilevel"/>
    <w:tmpl w:val="181C393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9C0C0E"/>
    <w:multiLevelType w:val="hybridMultilevel"/>
    <w:tmpl w:val="63D42DA8"/>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4" w15:restartNumberingAfterBreak="0">
    <w:nsid w:val="72B14EDD"/>
    <w:multiLevelType w:val="hybridMultilevel"/>
    <w:tmpl w:val="431A9C3C"/>
    <w:lvl w:ilvl="0" w:tplc="CB1C749E">
      <w:start w:val="16"/>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5" w15:restartNumberingAfterBreak="0">
    <w:nsid w:val="740C3D85"/>
    <w:multiLevelType w:val="hybridMultilevel"/>
    <w:tmpl w:val="84A2A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E03CCF"/>
    <w:multiLevelType w:val="hybridMultilevel"/>
    <w:tmpl w:val="02E8BF9A"/>
    <w:lvl w:ilvl="0" w:tplc="040C0001">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F27EB0"/>
    <w:multiLevelType w:val="hybridMultilevel"/>
    <w:tmpl w:val="15FE2F84"/>
    <w:lvl w:ilvl="0" w:tplc="C91A6748">
      <w:numFmt w:val="bullet"/>
      <w:lvlText w:val="-"/>
      <w:lvlJc w:val="left"/>
      <w:pPr>
        <w:tabs>
          <w:tab w:val="num" w:pos="737"/>
        </w:tabs>
        <w:ind w:left="737" w:hanging="56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27"/>
  </w:num>
  <w:num w:numId="4">
    <w:abstractNumId w:val="37"/>
  </w:num>
  <w:num w:numId="5">
    <w:abstractNumId w:val="18"/>
  </w:num>
  <w:num w:numId="6">
    <w:abstractNumId w:val="3"/>
  </w:num>
  <w:num w:numId="7">
    <w:abstractNumId w:val="23"/>
  </w:num>
  <w:num w:numId="8">
    <w:abstractNumId w:val="32"/>
  </w:num>
  <w:num w:numId="9">
    <w:abstractNumId w:val="1"/>
  </w:num>
  <w:num w:numId="10">
    <w:abstractNumId w:val="24"/>
  </w:num>
  <w:num w:numId="11">
    <w:abstractNumId w:val="11"/>
  </w:num>
  <w:num w:numId="12">
    <w:abstractNumId w:val="30"/>
  </w:num>
  <w:num w:numId="13">
    <w:abstractNumId w:val="7"/>
  </w:num>
  <w:num w:numId="14">
    <w:abstractNumId w:val="8"/>
  </w:num>
  <w:num w:numId="15">
    <w:abstractNumId w:val="15"/>
  </w:num>
  <w:num w:numId="16">
    <w:abstractNumId w:val="4"/>
  </w:num>
  <w:num w:numId="17">
    <w:abstractNumId w:val="0"/>
  </w:num>
  <w:num w:numId="18">
    <w:abstractNumId w:val="25"/>
  </w:num>
  <w:num w:numId="19">
    <w:abstractNumId w:val="36"/>
  </w:num>
  <w:num w:numId="20">
    <w:abstractNumId w:val="22"/>
  </w:num>
  <w:num w:numId="21">
    <w:abstractNumId w:val="16"/>
  </w:num>
  <w:num w:numId="22">
    <w:abstractNumId w:val="20"/>
  </w:num>
  <w:num w:numId="23">
    <w:abstractNumId w:val="12"/>
  </w:num>
  <w:num w:numId="24">
    <w:abstractNumId w:val="35"/>
  </w:num>
  <w:num w:numId="25">
    <w:abstractNumId w:val="26"/>
  </w:num>
  <w:num w:numId="26">
    <w:abstractNumId w:val="21"/>
  </w:num>
  <w:num w:numId="27">
    <w:abstractNumId w:val="33"/>
  </w:num>
  <w:num w:numId="28">
    <w:abstractNumId w:val="13"/>
  </w:num>
  <w:num w:numId="29">
    <w:abstractNumId w:val="5"/>
  </w:num>
  <w:num w:numId="30">
    <w:abstractNumId w:val="14"/>
  </w:num>
  <w:num w:numId="31">
    <w:abstractNumId w:val="6"/>
  </w:num>
  <w:num w:numId="32">
    <w:abstractNumId w:val="19"/>
  </w:num>
  <w:num w:numId="33">
    <w:abstractNumId w:val="10"/>
  </w:num>
  <w:num w:numId="34">
    <w:abstractNumId w:val="29"/>
  </w:num>
  <w:num w:numId="35">
    <w:abstractNumId w:val="28"/>
  </w:num>
  <w:num w:numId="36">
    <w:abstractNumId w:val="34"/>
  </w:num>
  <w:num w:numId="37">
    <w:abstractNumId w:val="31"/>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4E8"/>
    <w:rsid w:val="00015EE0"/>
    <w:rsid w:val="00020793"/>
    <w:rsid w:val="00031795"/>
    <w:rsid w:val="000410F1"/>
    <w:rsid w:val="00045A40"/>
    <w:rsid w:val="00076F83"/>
    <w:rsid w:val="00083488"/>
    <w:rsid w:val="00093F3C"/>
    <w:rsid w:val="000A7BCE"/>
    <w:rsid w:val="000B1563"/>
    <w:rsid w:val="000C6FAF"/>
    <w:rsid w:val="000E0229"/>
    <w:rsid w:val="000F7CD4"/>
    <w:rsid w:val="001626AB"/>
    <w:rsid w:val="001B6781"/>
    <w:rsid w:val="001D69BE"/>
    <w:rsid w:val="001E14A6"/>
    <w:rsid w:val="001F7C6E"/>
    <w:rsid w:val="00204460"/>
    <w:rsid w:val="002270F6"/>
    <w:rsid w:val="00236FD2"/>
    <w:rsid w:val="002433C9"/>
    <w:rsid w:val="00275017"/>
    <w:rsid w:val="00290954"/>
    <w:rsid w:val="002B2AA8"/>
    <w:rsid w:val="002E5CFB"/>
    <w:rsid w:val="00324E5D"/>
    <w:rsid w:val="0036439F"/>
    <w:rsid w:val="003C11F8"/>
    <w:rsid w:val="003D70B0"/>
    <w:rsid w:val="003E16BB"/>
    <w:rsid w:val="00427A16"/>
    <w:rsid w:val="0044114B"/>
    <w:rsid w:val="0044793B"/>
    <w:rsid w:val="00467C30"/>
    <w:rsid w:val="004739A5"/>
    <w:rsid w:val="004D45C4"/>
    <w:rsid w:val="004E6D92"/>
    <w:rsid w:val="00521679"/>
    <w:rsid w:val="005220AF"/>
    <w:rsid w:val="005435AB"/>
    <w:rsid w:val="005815A9"/>
    <w:rsid w:val="00581605"/>
    <w:rsid w:val="005859D3"/>
    <w:rsid w:val="005A13BE"/>
    <w:rsid w:val="005A1BA8"/>
    <w:rsid w:val="005C6404"/>
    <w:rsid w:val="005E0538"/>
    <w:rsid w:val="005F71AF"/>
    <w:rsid w:val="0060244C"/>
    <w:rsid w:val="0061402A"/>
    <w:rsid w:val="00643ABB"/>
    <w:rsid w:val="006B343C"/>
    <w:rsid w:val="006B3DAE"/>
    <w:rsid w:val="006C608B"/>
    <w:rsid w:val="006F1472"/>
    <w:rsid w:val="00710010"/>
    <w:rsid w:val="00712ED1"/>
    <w:rsid w:val="007537B6"/>
    <w:rsid w:val="0075419E"/>
    <w:rsid w:val="00772AB6"/>
    <w:rsid w:val="007921BA"/>
    <w:rsid w:val="00792C82"/>
    <w:rsid w:val="007A1A26"/>
    <w:rsid w:val="007A6DF3"/>
    <w:rsid w:val="007B54A2"/>
    <w:rsid w:val="007C6150"/>
    <w:rsid w:val="007D68D5"/>
    <w:rsid w:val="007D7DBB"/>
    <w:rsid w:val="007E4A3B"/>
    <w:rsid w:val="00803590"/>
    <w:rsid w:val="00806BE7"/>
    <w:rsid w:val="00810341"/>
    <w:rsid w:val="0083299B"/>
    <w:rsid w:val="00835A6D"/>
    <w:rsid w:val="00863593"/>
    <w:rsid w:val="00865A18"/>
    <w:rsid w:val="008817BC"/>
    <w:rsid w:val="00892704"/>
    <w:rsid w:val="008B129C"/>
    <w:rsid w:val="008C392D"/>
    <w:rsid w:val="009403C3"/>
    <w:rsid w:val="00951D21"/>
    <w:rsid w:val="00960CA8"/>
    <w:rsid w:val="00985DAF"/>
    <w:rsid w:val="009878C1"/>
    <w:rsid w:val="009A0080"/>
    <w:rsid w:val="009B4B41"/>
    <w:rsid w:val="00A11115"/>
    <w:rsid w:val="00A2146C"/>
    <w:rsid w:val="00A319A9"/>
    <w:rsid w:val="00A5572C"/>
    <w:rsid w:val="00A8427B"/>
    <w:rsid w:val="00A954F1"/>
    <w:rsid w:val="00AD255C"/>
    <w:rsid w:val="00B57FCF"/>
    <w:rsid w:val="00B60015"/>
    <w:rsid w:val="00B720F1"/>
    <w:rsid w:val="00B74CF1"/>
    <w:rsid w:val="00B85A53"/>
    <w:rsid w:val="00BA207A"/>
    <w:rsid w:val="00BC04E8"/>
    <w:rsid w:val="00BE02CD"/>
    <w:rsid w:val="00BE36E2"/>
    <w:rsid w:val="00BE3701"/>
    <w:rsid w:val="00BE5CD4"/>
    <w:rsid w:val="00BF60B9"/>
    <w:rsid w:val="00C02E02"/>
    <w:rsid w:val="00C37276"/>
    <w:rsid w:val="00C40790"/>
    <w:rsid w:val="00C44F70"/>
    <w:rsid w:val="00C737C0"/>
    <w:rsid w:val="00C8309A"/>
    <w:rsid w:val="00C8632E"/>
    <w:rsid w:val="00C92F4A"/>
    <w:rsid w:val="00CF3654"/>
    <w:rsid w:val="00D21A7B"/>
    <w:rsid w:val="00D25CB7"/>
    <w:rsid w:val="00D2770A"/>
    <w:rsid w:val="00D60328"/>
    <w:rsid w:val="00D60F67"/>
    <w:rsid w:val="00D62290"/>
    <w:rsid w:val="00D6448B"/>
    <w:rsid w:val="00D922F4"/>
    <w:rsid w:val="00DA378B"/>
    <w:rsid w:val="00DC13DE"/>
    <w:rsid w:val="00DC202E"/>
    <w:rsid w:val="00DE622F"/>
    <w:rsid w:val="00E173B2"/>
    <w:rsid w:val="00E335B8"/>
    <w:rsid w:val="00E36DE0"/>
    <w:rsid w:val="00E577CE"/>
    <w:rsid w:val="00E76AF3"/>
    <w:rsid w:val="00E92EC6"/>
    <w:rsid w:val="00EA3CD1"/>
    <w:rsid w:val="00EB068E"/>
    <w:rsid w:val="00EB50A8"/>
    <w:rsid w:val="00EE405B"/>
    <w:rsid w:val="00EF13E8"/>
    <w:rsid w:val="00F34B96"/>
    <w:rsid w:val="00F46B5D"/>
    <w:rsid w:val="00F47BDC"/>
    <w:rsid w:val="00F66D2F"/>
    <w:rsid w:val="00F71C86"/>
    <w:rsid w:val="00F752F4"/>
    <w:rsid w:val="00F84C44"/>
    <w:rsid w:val="00F93B67"/>
    <w:rsid w:val="00FA3504"/>
    <w:rsid w:val="00FC37B7"/>
    <w:rsid w:val="00FC56AB"/>
    <w:rsid w:val="00FD5642"/>
    <w:rsid w:val="00FF0FCB"/>
    <w:rsid w:val="00FF5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E75742"/>
  <w15:docId w15:val="{252B1B81-9BE4-4598-A476-AF48DA349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14B"/>
    <w:pPr>
      <w:tabs>
        <w:tab w:val="left" w:pos="1276"/>
        <w:tab w:val="left" w:pos="5245"/>
      </w:tabs>
      <w:spacing w:line="270" w:lineRule="exact"/>
    </w:pPr>
    <w:rPr>
      <w:sz w:val="20"/>
      <w:szCs w:val="20"/>
    </w:rPr>
  </w:style>
  <w:style w:type="paragraph" w:styleId="Titre1">
    <w:name w:val="heading 1"/>
    <w:basedOn w:val="Normal"/>
    <w:next w:val="Normal"/>
    <w:link w:val="Titre1Car"/>
    <w:uiPriority w:val="9"/>
    <w:qFormat/>
    <w:rsid w:val="00FC56AB"/>
    <w:pPr>
      <w:keepNext/>
      <w:keepLines/>
      <w:spacing w:before="240"/>
      <w:outlineLvl w:val="0"/>
    </w:pPr>
    <w:rPr>
      <w:rFonts w:asciiTheme="majorHAnsi" w:eastAsiaTheme="majorEastAsia" w:hAnsiTheme="majorHAnsi" w:cstheme="majorBidi"/>
      <w:color w:val="007E62" w:themeColor="accent1" w:themeShade="BF"/>
      <w:sz w:val="32"/>
      <w:szCs w:val="32"/>
    </w:rPr>
  </w:style>
  <w:style w:type="paragraph" w:styleId="Titre2">
    <w:name w:val="heading 2"/>
    <w:basedOn w:val="Normal"/>
    <w:next w:val="Normal"/>
    <w:link w:val="Titre2Car"/>
    <w:qFormat/>
    <w:rsid w:val="00F71C86"/>
    <w:pPr>
      <w:keepNext/>
      <w:pBdr>
        <w:top w:val="single" w:sz="4" w:space="1" w:color="auto"/>
        <w:left w:val="single" w:sz="4" w:space="4" w:color="auto"/>
        <w:bottom w:val="single" w:sz="4" w:space="1" w:color="auto"/>
        <w:right w:val="single" w:sz="4" w:space="4" w:color="auto"/>
      </w:pBdr>
      <w:tabs>
        <w:tab w:val="clear" w:pos="1276"/>
        <w:tab w:val="clear" w:pos="5245"/>
      </w:tabs>
      <w:spacing w:line="240" w:lineRule="auto"/>
      <w:ind w:left="284" w:right="7655"/>
      <w:outlineLvl w:val="1"/>
    </w:pPr>
    <w:rPr>
      <w:rFonts w:ascii="Frutiger Roman" w:eastAsia="Times New Roman" w:hAnsi="Frutiger Roman" w:cs="Times New Roman"/>
      <w:b/>
      <w:bCs/>
      <w:sz w:val="18"/>
      <w:szCs w:val="24"/>
    </w:rPr>
  </w:style>
  <w:style w:type="paragraph" w:styleId="Titre7">
    <w:name w:val="heading 7"/>
    <w:basedOn w:val="Normal"/>
    <w:next w:val="Normal"/>
    <w:link w:val="Titre7Car"/>
    <w:uiPriority w:val="9"/>
    <w:unhideWhenUsed/>
    <w:qFormat/>
    <w:rsid w:val="00F71C86"/>
    <w:pPr>
      <w:keepNext/>
      <w:keepLines/>
      <w:tabs>
        <w:tab w:val="clear" w:pos="1276"/>
        <w:tab w:val="clear" w:pos="5245"/>
      </w:tabs>
      <w:spacing w:before="200" w:line="260" w:lineRule="atLeast"/>
      <w:jc w:val="both"/>
      <w:outlineLvl w:val="6"/>
    </w:pPr>
    <w:rPr>
      <w:rFonts w:asciiTheme="majorHAnsi" w:eastAsiaTheme="majorEastAsia" w:hAnsiTheme="majorHAnsi" w:cstheme="majorBidi"/>
      <w:i/>
      <w:iCs/>
      <w:color w:val="404040" w:themeColor="text1" w:themeTint="BF"/>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4114B"/>
    <w:pPr>
      <w:tabs>
        <w:tab w:val="center" w:pos="4536"/>
        <w:tab w:val="right" w:pos="9072"/>
      </w:tabs>
    </w:pPr>
  </w:style>
  <w:style w:type="character" w:customStyle="1" w:styleId="En-tteCar">
    <w:name w:val="En-tête Car"/>
    <w:basedOn w:val="Policepardfaut"/>
    <w:link w:val="En-tte"/>
    <w:uiPriority w:val="99"/>
    <w:rsid w:val="0044114B"/>
  </w:style>
  <w:style w:type="paragraph" w:styleId="Pieddepage">
    <w:name w:val="footer"/>
    <w:basedOn w:val="Normal"/>
    <w:link w:val="PieddepageCar"/>
    <w:unhideWhenUsed/>
    <w:rsid w:val="0044114B"/>
    <w:pPr>
      <w:tabs>
        <w:tab w:val="center" w:pos="4536"/>
        <w:tab w:val="right" w:pos="9072"/>
      </w:tabs>
      <w:spacing w:line="220" w:lineRule="exact"/>
    </w:pPr>
    <w:rPr>
      <w:color w:val="007BC2" w:themeColor="accent2"/>
      <w:sz w:val="14"/>
      <w:szCs w:val="14"/>
    </w:rPr>
  </w:style>
  <w:style w:type="character" w:customStyle="1" w:styleId="PieddepageCar">
    <w:name w:val="Pied de page Car"/>
    <w:basedOn w:val="Policepardfaut"/>
    <w:link w:val="Pieddepage"/>
    <w:rsid w:val="0044114B"/>
    <w:rPr>
      <w:color w:val="007BC2" w:themeColor="accent2"/>
      <w:sz w:val="14"/>
      <w:szCs w:val="14"/>
    </w:rPr>
  </w:style>
  <w:style w:type="paragraph" w:customStyle="1" w:styleId="Pavadresse">
    <w:name w:val="Pavé adresse"/>
    <w:qFormat/>
    <w:rsid w:val="0044114B"/>
    <w:pPr>
      <w:spacing w:line="220" w:lineRule="exact"/>
    </w:pPr>
    <w:rPr>
      <w:color w:val="007BC2" w:themeColor="accent2"/>
      <w:sz w:val="18"/>
      <w:szCs w:val="18"/>
    </w:rPr>
  </w:style>
  <w:style w:type="character" w:customStyle="1" w:styleId="Pavnoir">
    <w:name w:val="Pavé noir"/>
    <w:basedOn w:val="Policepardfaut"/>
    <w:uiPriority w:val="1"/>
    <w:qFormat/>
    <w:rsid w:val="0044114B"/>
    <w:rPr>
      <w:color w:val="000000" w:themeColor="text1"/>
    </w:rPr>
  </w:style>
  <w:style w:type="paragraph" w:styleId="Textedebulles">
    <w:name w:val="Balloon Text"/>
    <w:basedOn w:val="Normal"/>
    <w:link w:val="TextedebullesCar"/>
    <w:uiPriority w:val="99"/>
    <w:semiHidden/>
    <w:unhideWhenUsed/>
    <w:rsid w:val="009B4B41"/>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B41"/>
    <w:rPr>
      <w:rFonts w:ascii="Tahoma" w:hAnsi="Tahoma" w:cs="Tahoma"/>
      <w:sz w:val="16"/>
      <w:szCs w:val="16"/>
    </w:rPr>
  </w:style>
  <w:style w:type="character" w:styleId="Lienhypertexte">
    <w:name w:val="Hyperlink"/>
    <w:basedOn w:val="Policepardfaut"/>
    <w:unhideWhenUsed/>
    <w:rsid w:val="00F34B96"/>
    <w:rPr>
      <w:color w:val="0000FF"/>
      <w:u w:val="single"/>
    </w:rPr>
  </w:style>
  <w:style w:type="paragraph" w:styleId="Paragraphedeliste">
    <w:name w:val="List Paragraph"/>
    <w:basedOn w:val="Normal"/>
    <w:uiPriority w:val="34"/>
    <w:qFormat/>
    <w:rsid w:val="00F34B96"/>
    <w:pPr>
      <w:tabs>
        <w:tab w:val="clear" w:pos="1276"/>
        <w:tab w:val="clear" w:pos="5245"/>
      </w:tabs>
      <w:spacing w:line="260" w:lineRule="atLeast"/>
      <w:ind w:left="720"/>
      <w:contextualSpacing/>
      <w:jc w:val="both"/>
    </w:pPr>
    <w:rPr>
      <w:rFonts w:ascii="Frutiger Roman" w:eastAsia="Times New Roman" w:hAnsi="Frutiger Roman" w:cs="Times New Roman"/>
      <w:sz w:val="18"/>
    </w:rPr>
  </w:style>
  <w:style w:type="paragraph" w:styleId="Commentaire">
    <w:name w:val="annotation text"/>
    <w:basedOn w:val="Normal"/>
    <w:link w:val="CommentaireCar"/>
    <w:uiPriority w:val="99"/>
    <w:unhideWhenUsed/>
    <w:rsid w:val="00F34B96"/>
    <w:pPr>
      <w:tabs>
        <w:tab w:val="clear" w:pos="1276"/>
        <w:tab w:val="clear" w:pos="5245"/>
      </w:tabs>
      <w:spacing w:line="260" w:lineRule="atLeast"/>
      <w:jc w:val="both"/>
    </w:pPr>
    <w:rPr>
      <w:rFonts w:ascii="Frutiger Roman" w:eastAsia="Times New Roman" w:hAnsi="Frutiger Roman" w:cs="Times New Roman"/>
    </w:rPr>
  </w:style>
  <w:style w:type="character" w:customStyle="1" w:styleId="CommentaireCar">
    <w:name w:val="Commentaire Car"/>
    <w:basedOn w:val="Policepardfaut"/>
    <w:link w:val="Commentaire"/>
    <w:uiPriority w:val="99"/>
    <w:rsid w:val="00F34B96"/>
    <w:rPr>
      <w:rFonts w:ascii="Frutiger Roman" w:eastAsia="Times New Roman" w:hAnsi="Frutiger Roman" w:cs="Times New Roman"/>
      <w:sz w:val="20"/>
      <w:szCs w:val="20"/>
    </w:rPr>
  </w:style>
  <w:style w:type="paragraph" w:styleId="Retraitcorpsdetexte3">
    <w:name w:val="Body Text Indent 3"/>
    <w:basedOn w:val="Normal"/>
    <w:link w:val="Retraitcorpsdetexte3Car"/>
    <w:uiPriority w:val="99"/>
    <w:unhideWhenUsed/>
    <w:rsid w:val="0060244C"/>
    <w:pPr>
      <w:tabs>
        <w:tab w:val="clear" w:pos="1276"/>
        <w:tab w:val="clear" w:pos="5245"/>
      </w:tabs>
      <w:spacing w:after="120" w:line="260" w:lineRule="atLeast"/>
      <w:ind w:left="283"/>
      <w:jc w:val="both"/>
    </w:pPr>
    <w:rPr>
      <w:rFonts w:ascii="Frutiger Roman" w:eastAsia="Times New Roman" w:hAnsi="Frutiger Roman" w:cs="Times New Roman"/>
      <w:sz w:val="16"/>
      <w:szCs w:val="16"/>
    </w:rPr>
  </w:style>
  <w:style w:type="character" w:customStyle="1" w:styleId="Retraitcorpsdetexte3Car">
    <w:name w:val="Retrait corps de texte 3 Car"/>
    <w:basedOn w:val="Policepardfaut"/>
    <w:link w:val="Retraitcorpsdetexte3"/>
    <w:uiPriority w:val="99"/>
    <w:rsid w:val="0060244C"/>
    <w:rPr>
      <w:rFonts w:ascii="Frutiger Roman" w:eastAsia="Times New Roman" w:hAnsi="Frutiger Roman" w:cs="Times New Roman"/>
      <w:sz w:val="16"/>
      <w:szCs w:val="16"/>
    </w:rPr>
  </w:style>
  <w:style w:type="paragraph" w:customStyle="1" w:styleId="Standard">
    <w:name w:val="Standard"/>
    <w:rsid w:val="0060244C"/>
    <w:pPr>
      <w:suppressAutoHyphens/>
      <w:autoSpaceDN w:val="0"/>
      <w:textAlignment w:val="baseline"/>
    </w:pPr>
    <w:rPr>
      <w:rFonts w:ascii="Times New Roman" w:eastAsia="Times New Roman" w:hAnsi="Times New Roman" w:cs="Times New Roman"/>
      <w:kern w:val="3"/>
      <w:sz w:val="20"/>
      <w:szCs w:val="20"/>
    </w:rPr>
  </w:style>
  <w:style w:type="paragraph" w:styleId="Retraitcorpsdetexte">
    <w:name w:val="Body Text Indent"/>
    <w:basedOn w:val="Normal"/>
    <w:link w:val="RetraitcorpsdetexteCar"/>
    <w:uiPriority w:val="99"/>
    <w:unhideWhenUsed/>
    <w:rsid w:val="005A13BE"/>
    <w:pPr>
      <w:spacing w:after="120"/>
      <w:ind w:left="283"/>
    </w:pPr>
  </w:style>
  <w:style w:type="character" w:customStyle="1" w:styleId="RetraitcorpsdetexteCar">
    <w:name w:val="Retrait corps de texte Car"/>
    <w:basedOn w:val="Policepardfaut"/>
    <w:link w:val="Retraitcorpsdetexte"/>
    <w:uiPriority w:val="99"/>
    <w:rsid w:val="005A13BE"/>
    <w:rPr>
      <w:sz w:val="20"/>
      <w:szCs w:val="20"/>
    </w:rPr>
  </w:style>
  <w:style w:type="paragraph" w:styleId="Retraitcorpsdetexte2">
    <w:name w:val="Body Text Indent 2"/>
    <w:basedOn w:val="Normal"/>
    <w:link w:val="Retraitcorpsdetexte2Car"/>
    <w:uiPriority w:val="99"/>
    <w:semiHidden/>
    <w:unhideWhenUsed/>
    <w:rsid w:val="00FC37B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C37B7"/>
    <w:rPr>
      <w:sz w:val="20"/>
      <w:szCs w:val="20"/>
    </w:rPr>
  </w:style>
  <w:style w:type="paragraph" w:styleId="Notedebasdepage">
    <w:name w:val="footnote text"/>
    <w:basedOn w:val="Normal"/>
    <w:link w:val="NotedebasdepageCar"/>
    <w:uiPriority w:val="99"/>
    <w:semiHidden/>
    <w:unhideWhenUsed/>
    <w:rsid w:val="00A8427B"/>
    <w:pPr>
      <w:tabs>
        <w:tab w:val="clear" w:pos="1276"/>
        <w:tab w:val="clear" w:pos="5245"/>
      </w:tabs>
      <w:spacing w:line="240" w:lineRule="auto"/>
      <w:jc w:val="both"/>
    </w:pPr>
    <w:rPr>
      <w:rFonts w:ascii="Frutiger Roman" w:eastAsia="Times New Roman" w:hAnsi="Frutiger Roman" w:cs="Times New Roman"/>
    </w:rPr>
  </w:style>
  <w:style w:type="character" w:customStyle="1" w:styleId="NotedebasdepageCar">
    <w:name w:val="Note de bas de page Car"/>
    <w:basedOn w:val="Policepardfaut"/>
    <w:link w:val="Notedebasdepage"/>
    <w:uiPriority w:val="99"/>
    <w:semiHidden/>
    <w:rsid w:val="00A8427B"/>
    <w:rPr>
      <w:rFonts w:ascii="Frutiger Roman" w:eastAsia="Times New Roman" w:hAnsi="Frutiger Roman" w:cs="Times New Roman"/>
      <w:sz w:val="20"/>
      <w:szCs w:val="20"/>
    </w:rPr>
  </w:style>
  <w:style w:type="character" w:styleId="Appelnotedebasdep">
    <w:name w:val="footnote reference"/>
    <w:basedOn w:val="Policepardfaut"/>
    <w:uiPriority w:val="99"/>
    <w:semiHidden/>
    <w:unhideWhenUsed/>
    <w:rsid w:val="00A8427B"/>
    <w:rPr>
      <w:vertAlign w:val="superscript"/>
    </w:rPr>
  </w:style>
  <w:style w:type="character" w:customStyle="1" w:styleId="Titre2Car">
    <w:name w:val="Titre 2 Car"/>
    <w:basedOn w:val="Policepardfaut"/>
    <w:link w:val="Titre2"/>
    <w:rsid w:val="00F71C86"/>
    <w:rPr>
      <w:rFonts w:ascii="Frutiger Roman" w:eastAsia="Times New Roman" w:hAnsi="Frutiger Roman" w:cs="Times New Roman"/>
      <w:b/>
      <w:bCs/>
      <w:sz w:val="18"/>
    </w:rPr>
  </w:style>
  <w:style w:type="character" w:customStyle="1" w:styleId="Titre7Car">
    <w:name w:val="Titre 7 Car"/>
    <w:basedOn w:val="Policepardfaut"/>
    <w:link w:val="Titre7"/>
    <w:uiPriority w:val="9"/>
    <w:rsid w:val="00F71C86"/>
    <w:rPr>
      <w:rFonts w:asciiTheme="majorHAnsi" w:eastAsiaTheme="majorEastAsia" w:hAnsiTheme="majorHAnsi" w:cstheme="majorBidi"/>
      <w:i/>
      <w:iCs/>
      <w:color w:val="404040" w:themeColor="text1" w:themeTint="BF"/>
      <w:sz w:val="18"/>
      <w:szCs w:val="20"/>
    </w:rPr>
  </w:style>
  <w:style w:type="paragraph" w:styleId="Corpsdetexte">
    <w:name w:val="Body Text"/>
    <w:basedOn w:val="Normal"/>
    <w:link w:val="CorpsdetexteCar"/>
    <w:uiPriority w:val="99"/>
    <w:semiHidden/>
    <w:unhideWhenUsed/>
    <w:rsid w:val="00F71C86"/>
    <w:pPr>
      <w:tabs>
        <w:tab w:val="clear" w:pos="1276"/>
        <w:tab w:val="clear" w:pos="5245"/>
      </w:tabs>
      <w:spacing w:after="120" w:line="260" w:lineRule="atLeast"/>
      <w:jc w:val="both"/>
    </w:pPr>
    <w:rPr>
      <w:rFonts w:ascii="Frutiger Roman" w:eastAsia="Times New Roman" w:hAnsi="Frutiger Roman" w:cs="Times New Roman"/>
      <w:sz w:val="18"/>
    </w:rPr>
  </w:style>
  <w:style w:type="character" w:customStyle="1" w:styleId="CorpsdetexteCar">
    <w:name w:val="Corps de texte Car"/>
    <w:basedOn w:val="Policepardfaut"/>
    <w:link w:val="Corpsdetexte"/>
    <w:uiPriority w:val="99"/>
    <w:semiHidden/>
    <w:rsid w:val="00F71C86"/>
    <w:rPr>
      <w:rFonts w:ascii="Frutiger Roman" w:eastAsia="Times New Roman" w:hAnsi="Frutiger Roman" w:cs="Times New Roman"/>
      <w:sz w:val="18"/>
      <w:szCs w:val="20"/>
    </w:rPr>
  </w:style>
  <w:style w:type="character" w:customStyle="1" w:styleId="chapeau1">
    <w:name w:val="chapeau1"/>
    <w:basedOn w:val="Policepardfaut"/>
    <w:rsid w:val="00F71C86"/>
    <w:rPr>
      <w:rFonts w:ascii="Arial" w:hAnsi="Arial" w:cs="Arial" w:hint="default"/>
      <w:b/>
      <w:bCs/>
      <w:strike w:val="0"/>
      <w:dstrike w:val="0"/>
      <w:color w:val="4C5E9C"/>
      <w:sz w:val="24"/>
      <w:szCs w:val="24"/>
      <w:u w:val="none"/>
      <w:effect w:val="none"/>
    </w:rPr>
  </w:style>
  <w:style w:type="paragraph" w:customStyle="1" w:styleId="Style4">
    <w:name w:val="Style4"/>
    <w:basedOn w:val="Paragraphedeliste"/>
    <w:link w:val="Style4Car"/>
    <w:qFormat/>
    <w:rsid w:val="00F71C86"/>
    <w:pPr>
      <w:keepNext/>
      <w:overflowPunct w:val="0"/>
      <w:autoSpaceDE w:val="0"/>
      <w:autoSpaceDN w:val="0"/>
      <w:adjustRightInd w:val="0"/>
      <w:spacing w:line="240" w:lineRule="auto"/>
      <w:ind w:left="0"/>
      <w:contextualSpacing w:val="0"/>
      <w:textAlignment w:val="baseline"/>
      <w:outlineLvl w:val="1"/>
    </w:pPr>
    <w:rPr>
      <w:rFonts w:ascii="Frutiger Bold" w:hAnsi="Frutiger Bold" w:cs="Arial"/>
      <w:smallCaps/>
      <w:noProof/>
      <w:color w:val="339966"/>
      <w:kern w:val="32"/>
      <w:sz w:val="32"/>
      <w:szCs w:val="32"/>
    </w:rPr>
  </w:style>
  <w:style w:type="character" w:customStyle="1" w:styleId="Style4Car">
    <w:name w:val="Style4 Car"/>
    <w:basedOn w:val="Policepardfaut"/>
    <w:link w:val="Style4"/>
    <w:rsid w:val="00F71C86"/>
    <w:rPr>
      <w:rFonts w:ascii="Frutiger Bold" w:eastAsia="Times New Roman" w:hAnsi="Frutiger Bold" w:cs="Arial"/>
      <w:smallCaps/>
      <w:noProof/>
      <w:color w:val="339966"/>
      <w:kern w:val="32"/>
      <w:sz w:val="32"/>
      <w:szCs w:val="32"/>
    </w:rPr>
  </w:style>
  <w:style w:type="paragraph" w:styleId="Corpsdetexte2">
    <w:name w:val="Body Text 2"/>
    <w:basedOn w:val="Normal"/>
    <w:link w:val="Corpsdetexte2Car"/>
    <w:uiPriority w:val="99"/>
    <w:semiHidden/>
    <w:unhideWhenUsed/>
    <w:rsid w:val="00F71C86"/>
    <w:pPr>
      <w:tabs>
        <w:tab w:val="clear" w:pos="1276"/>
        <w:tab w:val="clear" w:pos="5245"/>
      </w:tabs>
      <w:spacing w:after="120" w:line="480" w:lineRule="auto"/>
      <w:jc w:val="both"/>
    </w:pPr>
    <w:rPr>
      <w:rFonts w:ascii="Frutiger Roman" w:eastAsia="Times New Roman" w:hAnsi="Frutiger Roman" w:cs="Times New Roman"/>
      <w:sz w:val="18"/>
    </w:rPr>
  </w:style>
  <w:style w:type="character" w:customStyle="1" w:styleId="Corpsdetexte2Car">
    <w:name w:val="Corps de texte 2 Car"/>
    <w:basedOn w:val="Policepardfaut"/>
    <w:link w:val="Corpsdetexte2"/>
    <w:uiPriority w:val="99"/>
    <w:semiHidden/>
    <w:rsid w:val="00F71C86"/>
    <w:rPr>
      <w:rFonts w:ascii="Frutiger Roman" w:eastAsia="Times New Roman" w:hAnsi="Frutiger Roman" w:cs="Times New Roman"/>
      <w:sz w:val="18"/>
      <w:szCs w:val="20"/>
    </w:rPr>
  </w:style>
  <w:style w:type="paragraph" w:styleId="Corpsdetexte3">
    <w:name w:val="Body Text 3"/>
    <w:basedOn w:val="Normal"/>
    <w:link w:val="Corpsdetexte3Car"/>
    <w:uiPriority w:val="99"/>
    <w:semiHidden/>
    <w:unhideWhenUsed/>
    <w:rsid w:val="00F71C86"/>
    <w:pPr>
      <w:tabs>
        <w:tab w:val="clear" w:pos="1276"/>
        <w:tab w:val="clear" w:pos="5245"/>
      </w:tabs>
      <w:spacing w:after="120" w:line="260" w:lineRule="atLeast"/>
      <w:jc w:val="both"/>
    </w:pPr>
    <w:rPr>
      <w:rFonts w:ascii="Frutiger Roman" w:eastAsia="Times New Roman" w:hAnsi="Frutiger Roman" w:cs="Times New Roman"/>
      <w:sz w:val="16"/>
      <w:szCs w:val="16"/>
    </w:rPr>
  </w:style>
  <w:style w:type="character" w:customStyle="1" w:styleId="Corpsdetexte3Car">
    <w:name w:val="Corps de texte 3 Car"/>
    <w:basedOn w:val="Policepardfaut"/>
    <w:link w:val="Corpsdetexte3"/>
    <w:uiPriority w:val="99"/>
    <w:semiHidden/>
    <w:rsid w:val="00F71C86"/>
    <w:rPr>
      <w:rFonts w:ascii="Frutiger Roman" w:eastAsia="Times New Roman" w:hAnsi="Frutiger Roman" w:cs="Times New Roman"/>
      <w:sz w:val="16"/>
      <w:szCs w:val="16"/>
    </w:rPr>
  </w:style>
  <w:style w:type="paragraph" w:customStyle="1" w:styleId="Styledetableau1">
    <w:name w:val="Style de tableau 1"/>
    <w:rsid w:val="00F71C86"/>
    <w:pPr>
      <w:pBdr>
        <w:top w:val="nil"/>
        <w:left w:val="nil"/>
        <w:bottom w:val="nil"/>
        <w:right w:val="nil"/>
        <w:between w:val="nil"/>
        <w:bar w:val="nil"/>
      </w:pBdr>
    </w:pPr>
    <w:rPr>
      <w:rFonts w:ascii="Helvetica" w:eastAsia="Helvetica" w:hAnsi="Helvetica" w:cs="Helvetica"/>
      <w:b/>
      <w:bCs/>
      <w:color w:val="000000"/>
      <w:sz w:val="20"/>
      <w:szCs w:val="20"/>
      <w:bdr w:val="nil"/>
    </w:rPr>
  </w:style>
  <w:style w:type="paragraph" w:customStyle="1" w:styleId="Styledetableau2">
    <w:name w:val="Style de tableau 2"/>
    <w:basedOn w:val="Normal"/>
    <w:rsid w:val="00F71C86"/>
    <w:pPr>
      <w:pBdr>
        <w:top w:val="nil"/>
        <w:left w:val="nil"/>
        <w:bottom w:val="nil"/>
        <w:right w:val="nil"/>
        <w:between w:val="nil"/>
        <w:bar w:val="nil"/>
      </w:pBdr>
      <w:tabs>
        <w:tab w:val="clear" w:pos="1276"/>
        <w:tab w:val="clear" w:pos="5245"/>
      </w:tabs>
      <w:spacing w:line="240" w:lineRule="auto"/>
      <w:ind w:left="15"/>
    </w:pPr>
    <w:rPr>
      <w:rFonts w:ascii="Book Antiqua" w:eastAsia="Book Antiqua" w:hAnsi="Book Antiqua" w:cs="Book Antiqua"/>
      <w:color w:val="000000"/>
      <w:kern w:val="28"/>
      <w:sz w:val="16"/>
      <w:szCs w:val="16"/>
      <w:u w:color="000000"/>
      <w:bdr w:val="nil"/>
      <w:lang w:eastAsia="en-US"/>
    </w:rPr>
  </w:style>
  <w:style w:type="paragraph" w:styleId="Sansinterligne">
    <w:name w:val="No Spacing"/>
    <w:uiPriority w:val="1"/>
    <w:qFormat/>
    <w:rsid w:val="00F71C86"/>
    <w:pPr>
      <w:pBdr>
        <w:top w:val="nil"/>
        <w:left w:val="nil"/>
        <w:bottom w:val="nil"/>
        <w:right w:val="nil"/>
        <w:between w:val="nil"/>
        <w:bar w:val="nil"/>
      </w:pBdr>
    </w:pPr>
    <w:rPr>
      <w:rFonts w:ascii="Book Antiqua" w:eastAsia="Book Antiqua" w:hAnsi="Book Antiqua" w:cs="Book Antiqua"/>
      <w:color w:val="000000"/>
      <w:sz w:val="20"/>
      <w:szCs w:val="20"/>
      <w:u w:color="000000"/>
      <w:bdr w:val="nil"/>
      <w:lang w:eastAsia="en-US"/>
    </w:rPr>
  </w:style>
  <w:style w:type="numbering" w:customStyle="1" w:styleId="List7">
    <w:name w:val="List 7"/>
    <w:basedOn w:val="Aucuneliste"/>
    <w:rsid w:val="00F71C86"/>
    <w:pPr>
      <w:numPr>
        <w:numId w:val="30"/>
      </w:numPr>
    </w:pPr>
  </w:style>
  <w:style w:type="paragraph" w:styleId="Citationintense">
    <w:name w:val="Intense Quote"/>
    <w:basedOn w:val="Normal"/>
    <w:next w:val="Normal"/>
    <w:link w:val="CitationintenseCar"/>
    <w:uiPriority w:val="30"/>
    <w:qFormat/>
    <w:rsid w:val="00FC56AB"/>
    <w:pPr>
      <w:pBdr>
        <w:top w:val="single" w:sz="4" w:space="10" w:color="00A984" w:themeColor="accent1"/>
        <w:bottom w:val="single" w:sz="4" w:space="10" w:color="00A984" w:themeColor="accent1"/>
      </w:pBdr>
      <w:spacing w:before="360" w:after="360"/>
      <w:ind w:left="864" w:right="864"/>
      <w:jc w:val="center"/>
    </w:pPr>
    <w:rPr>
      <w:i/>
      <w:iCs/>
      <w:color w:val="00A984" w:themeColor="accent1"/>
    </w:rPr>
  </w:style>
  <w:style w:type="character" w:customStyle="1" w:styleId="CitationintenseCar">
    <w:name w:val="Citation intense Car"/>
    <w:basedOn w:val="Policepardfaut"/>
    <w:link w:val="Citationintense"/>
    <w:uiPriority w:val="30"/>
    <w:rsid w:val="00FC56AB"/>
    <w:rPr>
      <w:i/>
      <w:iCs/>
      <w:color w:val="00A984" w:themeColor="accent1"/>
      <w:sz w:val="20"/>
      <w:szCs w:val="20"/>
    </w:rPr>
  </w:style>
  <w:style w:type="character" w:styleId="Emphaseintense">
    <w:name w:val="Intense Emphasis"/>
    <w:basedOn w:val="Policepardfaut"/>
    <w:uiPriority w:val="21"/>
    <w:qFormat/>
    <w:rsid w:val="00FC56AB"/>
    <w:rPr>
      <w:i/>
      <w:iCs/>
      <w:color w:val="00A984" w:themeColor="accent1"/>
    </w:rPr>
  </w:style>
  <w:style w:type="character" w:customStyle="1" w:styleId="Titre1Car">
    <w:name w:val="Titre 1 Car"/>
    <w:basedOn w:val="Policepardfaut"/>
    <w:link w:val="Titre1"/>
    <w:uiPriority w:val="9"/>
    <w:rsid w:val="00FC56AB"/>
    <w:rPr>
      <w:rFonts w:asciiTheme="majorHAnsi" w:eastAsiaTheme="majorEastAsia" w:hAnsiTheme="majorHAnsi" w:cstheme="majorBidi"/>
      <w:color w:val="007E62" w:themeColor="accent1" w:themeShade="BF"/>
      <w:sz w:val="32"/>
      <w:szCs w:val="32"/>
    </w:rPr>
  </w:style>
  <w:style w:type="character" w:styleId="Numrodepage">
    <w:name w:val="page number"/>
    <w:basedOn w:val="Policepardfaut"/>
    <w:rsid w:val="000E0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135160">
      <w:bodyDiv w:val="1"/>
      <w:marLeft w:val="0"/>
      <w:marRight w:val="0"/>
      <w:marTop w:val="0"/>
      <w:marBottom w:val="0"/>
      <w:divBdr>
        <w:top w:val="none" w:sz="0" w:space="0" w:color="auto"/>
        <w:left w:val="none" w:sz="0" w:space="0" w:color="auto"/>
        <w:bottom w:val="none" w:sz="0" w:space="0" w:color="auto"/>
        <w:right w:val="none" w:sz="0" w:space="0" w:color="auto"/>
      </w:divBdr>
    </w:div>
    <w:div w:id="422923608">
      <w:bodyDiv w:val="1"/>
      <w:marLeft w:val="0"/>
      <w:marRight w:val="0"/>
      <w:marTop w:val="0"/>
      <w:marBottom w:val="0"/>
      <w:divBdr>
        <w:top w:val="none" w:sz="0" w:space="0" w:color="auto"/>
        <w:left w:val="none" w:sz="0" w:space="0" w:color="auto"/>
        <w:bottom w:val="none" w:sz="0" w:space="0" w:color="auto"/>
        <w:right w:val="none" w:sz="0" w:space="0" w:color="auto"/>
      </w:divBdr>
    </w:div>
    <w:div w:id="1192836315">
      <w:bodyDiv w:val="1"/>
      <w:marLeft w:val="0"/>
      <w:marRight w:val="0"/>
      <w:marTop w:val="0"/>
      <w:marBottom w:val="0"/>
      <w:divBdr>
        <w:top w:val="none" w:sz="0" w:space="0" w:color="auto"/>
        <w:left w:val="none" w:sz="0" w:space="0" w:color="auto"/>
        <w:bottom w:val="none" w:sz="0" w:space="0" w:color="auto"/>
        <w:right w:val="none" w:sz="0" w:space="0" w:color="auto"/>
      </w:divBdr>
    </w:div>
    <w:div w:id="1420521182">
      <w:bodyDiv w:val="1"/>
      <w:marLeft w:val="0"/>
      <w:marRight w:val="0"/>
      <w:marTop w:val="0"/>
      <w:marBottom w:val="0"/>
      <w:divBdr>
        <w:top w:val="none" w:sz="0" w:space="0" w:color="auto"/>
        <w:left w:val="none" w:sz="0" w:space="0" w:color="auto"/>
        <w:bottom w:val="none" w:sz="0" w:space="0" w:color="auto"/>
        <w:right w:val="none" w:sz="0" w:space="0" w:color="auto"/>
      </w:divBdr>
    </w:div>
    <w:div w:id="1481998111">
      <w:bodyDiv w:val="1"/>
      <w:marLeft w:val="0"/>
      <w:marRight w:val="0"/>
      <w:marTop w:val="0"/>
      <w:marBottom w:val="0"/>
      <w:divBdr>
        <w:top w:val="none" w:sz="0" w:space="0" w:color="auto"/>
        <w:left w:val="none" w:sz="0" w:space="0" w:color="auto"/>
        <w:bottom w:val="none" w:sz="0" w:space="0" w:color="auto"/>
        <w:right w:val="none" w:sz="0" w:space="0" w:color="auto"/>
      </w:divBdr>
    </w:div>
    <w:div w:id="1853178770">
      <w:bodyDiv w:val="1"/>
      <w:marLeft w:val="0"/>
      <w:marRight w:val="0"/>
      <w:marTop w:val="0"/>
      <w:marBottom w:val="0"/>
      <w:divBdr>
        <w:top w:val="none" w:sz="0" w:space="0" w:color="auto"/>
        <w:left w:val="none" w:sz="0" w:space="0" w:color="auto"/>
        <w:bottom w:val="none" w:sz="0" w:space="0" w:color="auto"/>
        <w:right w:val="none" w:sz="0" w:space="0" w:color="auto"/>
      </w:divBdr>
    </w:div>
    <w:div w:id="1906377201">
      <w:bodyDiv w:val="1"/>
      <w:marLeft w:val="0"/>
      <w:marRight w:val="0"/>
      <w:marTop w:val="0"/>
      <w:marBottom w:val="0"/>
      <w:divBdr>
        <w:top w:val="none" w:sz="0" w:space="0" w:color="auto"/>
        <w:left w:val="none" w:sz="0" w:space="0" w:color="auto"/>
        <w:bottom w:val="none" w:sz="0" w:space="0" w:color="auto"/>
        <w:right w:val="none" w:sz="0" w:space="0" w:color="auto"/>
      </w:divBdr>
    </w:div>
    <w:div w:id="20774305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Couleurs GRTgaz">
      <a:dk1>
        <a:sysClr val="windowText" lastClr="000000"/>
      </a:dk1>
      <a:lt1>
        <a:sysClr val="window" lastClr="FFFFFF"/>
      </a:lt1>
      <a:dk2>
        <a:srgbClr val="000000"/>
      </a:dk2>
      <a:lt2>
        <a:srgbClr val="FFFFFF"/>
      </a:lt2>
      <a:accent1>
        <a:srgbClr val="00A984"/>
      </a:accent1>
      <a:accent2>
        <a:srgbClr val="007BC2"/>
      </a:accent2>
      <a:accent3>
        <a:srgbClr val="951B81"/>
      </a:accent3>
      <a:accent4>
        <a:srgbClr val="E6007E"/>
      </a:accent4>
      <a:accent5>
        <a:srgbClr val="F39200"/>
      </a:accent5>
      <a:accent6>
        <a:srgbClr val="FFED00"/>
      </a:accent6>
      <a:hlink>
        <a:srgbClr val="0000FF"/>
      </a:hlink>
      <a:folHlink>
        <a:srgbClr val="800080"/>
      </a:folHlink>
    </a:clrScheme>
    <a:fontScheme name="Office Classique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F4C1C17793F9439C8530DC81CD89C5" ma:contentTypeVersion="5" ma:contentTypeDescription="Crée un document." ma:contentTypeScope="" ma:versionID="304169a40105e5bc09b176a9c3e15bae">
  <xsd:schema xmlns:xsd="http://www.w3.org/2001/XMLSchema" xmlns:xs="http://www.w3.org/2001/XMLSchema" xmlns:p="http://schemas.microsoft.com/office/2006/metadata/properties" xmlns:ns2="312bcf42-0ed8-483c-8034-4f7929e96b86" targetNamespace="http://schemas.microsoft.com/office/2006/metadata/properties" ma:root="true" ma:fieldsID="30a4273643aada43107abd0f15f4b7f5" ns2:_="">
    <xsd:import namespace="312bcf42-0ed8-483c-8034-4f7929e96b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2bcf42-0ed8-483c-8034-4f7929e96b8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8391E-CE9D-4E1D-9B90-778A9DF4FB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337EFC-0116-4073-A5CF-6BBB90E7D518}">
  <ds:schemaRefs>
    <ds:schemaRef ds:uri="http://schemas.microsoft.com/sharepoint/v3/contenttype/forms"/>
  </ds:schemaRefs>
</ds:datastoreItem>
</file>

<file path=customXml/itemProps3.xml><?xml version="1.0" encoding="utf-8"?>
<ds:datastoreItem xmlns:ds="http://schemas.openxmlformats.org/officeDocument/2006/customXml" ds:itemID="{F8453988-2C92-4ECA-8A61-9401D32B4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2bcf42-0ed8-483c-8034-4f7929e96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EF4E69-D06A-4D3E-ABCB-C425ED7B3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1159</Words>
  <Characters>6379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Courrier pour réponse au PAC des PLU(i)</vt:lpstr>
    </vt:vector>
  </TitlesOfParts>
  <Company>GDF SUEZ</Company>
  <LinksUpToDate>false</LinksUpToDate>
  <CharactersWithSpaces>7523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Courrier pour réponse au PAC des PLU(i)</dc:title>
  <dc:creator>R S</dc:creator>
  <cp:lastModifiedBy>HAUTELARD Corine</cp:lastModifiedBy>
  <cp:revision>2</cp:revision>
  <dcterms:created xsi:type="dcterms:W3CDTF">2018-12-24T16:03:00Z</dcterms:created>
  <dcterms:modified xsi:type="dcterms:W3CDTF">2018-12-24T16:03:00Z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0x010100C0F4C1C17793F9439C8530DC81CD89C5</vt:lpwstr>
  </property>
</Properties>
</file>